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B8" w:rsidRPr="001C0075" w:rsidRDefault="00C812B8" w:rsidP="00847378">
      <w:pPr>
        <w:spacing w:after="0" w:line="360" w:lineRule="auto"/>
        <w:ind w:firstLineChars="1050" w:firstLine="3373"/>
        <w:rPr>
          <w:rFonts w:asciiTheme="majorEastAsia" w:eastAsiaTheme="majorEastAsia" w:hAnsiTheme="majorEastAsia"/>
          <w:b/>
          <w:sz w:val="32"/>
          <w:szCs w:val="32"/>
          <w:lang w:eastAsia="zh-CN"/>
        </w:rPr>
      </w:pPr>
      <w:r w:rsidRPr="001C0075"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  <w:t xml:space="preserve">前 </w:t>
      </w:r>
      <w:r w:rsidR="0020364C" w:rsidRPr="001C0075"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  <w:t xml:space="preserve"> </w:t>
      </w:r>
      <w:r w:rsidRPr="001C0075">
        <w:rPr>
          <w:rFonts w:asciiTheme="majorEastAsia" w:eastAsiaTheme="majorEastAsia" w:hAnsiTheme="majorEastAsia"/>
          <w:b/>
          <w:sz w:val="32"/>
          <w:szCs w:val="32"/>
          <w:lang w:eastAsia="zh-CN"/>
        </w:rPr>
        <w:t>言</w:t>
      </w:r>
    </w:p>
    <w:p w:rsidR="00C812B8" w:rsidRPr="00C812B8" w:rsidRDefault="00C812B8" w:rsidP="00847378">
      <w:pPr>
        <w:spacing w:after="0"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C812B8">
        <w:rPr>
          <w:rFonts w:asciiTheme="minorEastAsia" w:hAnsiTheme="minorEastAsia"/>
          <w:sz w:val="24"/>
          <w:szCs w:val="24"/>
          <w:lang w:eastAsia="zh-CN"/>
        </w:rPr>
        <w:t>随着中国高等教育数量扩张目标的逐步实现，提高教育质量的重要性日益凸 显</w:t>
      </w:r>
      <w:r w:rsidRPr="00C812B8">
        <w:rPr>
          <w:rFonts w:asciiTheme="minorEastAsia" w:hAnsiTheme="minorEastAsia" w:hint="eastAsia"/>
          <w:sz w:val="24"/>
          <w:szCs w:val="24"/>
          <w:lang w:eastAsia="zh-CN"/>
        </w:rPr>
        <w:t>。</w:t>
      </w:r>
      <w:r w:rsidRPr="00C812B8">
        <w:rPr>
          <w:rFonts w:asciiTheme="minorEastAsia" w:hAnsiTheme="minorEastAsia"/>
          <w:sz w:val="24"/>
          <w:szCs w:val="24"/>
          <w:lang w:eastAsia="zh-CN"/>
        </w:rPr>
        <w:t>发布高</w:t>
      </w:r>
      <w:r w:rsidR="00A07A01">
        <w:rPr>
          <w:rFonts w:asciiTheme="minorEastAsia" w:hAnsiTheme="minorEastAsia"/>
          <w:sz w:val="24"/>
          <w:szCs w:val="24"/>
          <w:lang w:eastAsia="zh-CN"/>
        </w:rPr>
        <w:t>院</w:t>
      </w:r>
      <w:r w:rsidRPr="00C812B8">
        <w:rPr>
          <w:rFonts w:asciiTheme="minorEastAsia" w:hAnsiTheme="minorEastAsia"/>
          <w:sz w:val="24"/>
          <w:szCs w:val="24"/>
          <w:lang w:eastAsia="zh-CN"/>
        </w:rPr>
        <w:t>毕业生就业质量年度报告，是高等</w:t>
      </w:r>
      <w:r w:rsidR="009870A5">
        <w:rPr>
          <w:rFonts w:asciiTheme="minorEastAsia" w:hAnsiTheme="minorEastAsia"/>
          <w:sz w:val="24"/>
          <w:szCs w:val="24"/>
          <w:lang w:eastAsia="zh-CN"/>
        </w:rPr>
        <w:t>学院</w:t>
      </w:r>
      <w:r w:rsidRPr="00C812B8">
        <w:rPr>
          <w:rFonts w:asciiTheme="minorEastAsia" w:hAnsiTheme="minorEastAsia"/>
          <w:sz w:val="24"/>
          <w:szCs w:val="24"/>
          <w:lang w:eastAsia="zh-CN"/>
        </w:rPr>
        <w:t>建立健全就业状况反馈机制、 引导高</w:t>
      </w:r>
      <w:r w:rsidR="00A07A01">
        <w:rPr>
          <w:rFonts w:asciiTheme="minorEastAsia" w:hAnsiTheme="minorEastAsia"/>
          <w:sz w:val="24"/>
          <w:szCs w:val="24"/>
          <w:lang w:eastAsia="zh-CN"/>
        </w:rPr>
        <w:t>院</w:t>
      </w:r>
      <w:r w:rsidRPr="00C812B8">
        <w:rPr>
          <w:rFonts w:asciiTheme="minorEastAsia" w:hAnsiTheme="minorEastAsia"/>
          <w:sz w:val="24"/>
          <w:szCs w:val="24"/>
          <w:lang w:eastAsia="zh-CN"/>
        </w:rPr>
        <w:t>优化招生和专业结构、改进人才培养模式、及时回应社会关切的一项重要工作。</w:t>
      </w:r>
    </w:p>
    <w:p w:rsidR="00C812B8" w:rsidRPr="00401A2B" w:rsidRDefault="00C812B8" w:rsidP="00847378">
      <w:pPr>
        <w:spacing w:after="0"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C812B8">
        <w:rPr>
          <w:rFonts w:asciiTheme="minorEastAsia" w:hAnsiTheme="minorEastAsia"/>
          <w:sz w:val="24"/>
          <w:szCs w:val="24"/>
          <w:lang w:eastAsia="zh-CN"/>
        </w:rPr>
        <w:t>根据教育部《教育部办公厅关于编制发布高</w:t>
      </w:r>
      <w:r w:rsidR="00A07A01" w:rsidRPr="003B4EB1">
        <w:rPr>
          <w:rFonts w:asciiTheme="minorEastAsia" w:hAnsiTheme="minorEastAsia"/>
          <w:sz w:val="24"/>
          <w:szCs w:val="24"/>
          <w:lang w:eastAsia="zh-CN"/>
        </w:rPr>
        <w:t>院</w:t>
      </w:r>
      <w:r w:rsidRPr="003B4EB1">
        <w:rPr>
          <w:rFonts w:asciiTheme="minorEastAsia" w:hAnsiTheme="minorEastAsia"/>
          <w:sz w:val="24"/>
          <w:szCs w:val="24"/>
          <w:lang w:eastAsia="zh-CN"/>
        </w:rPr>
        <w:t>毕业生就业质量年度报告的通 知教学厅函[2013]25 号》要求，我</w:t>
      </w:r>
      <w:r w:rsidR="00A07A01" w:rsidRPr="003B4EB1">
        <w:rPr>
          <w:rFonts w:asciiTheme="minorEastAsia" w:hAnsiTheme="minorEastAsia"/>
          <w:sz w:val="24"/>
          <w:szCs w:val="24"/>
          <w:lang w:eastAsia="zh-CN"/>
        </w:rPr>
        <w:t>院</w:t>
      </w:r>
      <w:r w:rsidRPr="003B4EB1">
        <w:rPr>
          <w:rFonts w:asciiTheme="minorEastAsia" w:hAnsiTheme="minorEastAsia"/>
          <w:sz w:val="24"/>
          <w:szCs w:val="24"/>
          <w:lang w:eastAsia="zh-CN"/>
        </w:rPr>
        <w:t>编制和发布</w:t>
      </w:r>
      <w:r w:rsidRPr="00401A2B">
        <w:rPr>
          <w:rFonts w:asciiTheme="minorEastAsia" w:hAnsiTheme="minorEastAsia"/>
          <w:sz w:val="24"/>
          <w:szCs w:val="24"/>
          <w:lang w:eastAsia="zh-CN"/>
        </w:rPr>
        <w:t>《安徽大学江淮学院2014届毕业生就业质量年度报告》。本报告基于</w:t>
      </w:r>
      <w:r w:rsidR="009870A5" w:rsidRPr="00401A2B">
        <w:rPr>
          <w:rFonts w:asciiTheme="minorEastAsia" w:hAnsiTheme="minorEastAsia"/>
          <w:sz w:val="24"/>
          <w:szCs w:val="24"/>
          <w:lang w:eastAsia="zh-CN"/>
        </w:rPr>
        <w:t>学院</w:t>
      </w:r>
      <w:r w:rsidRPr="00401A2B">
        <w:rPr>
          <w:rFonts w:asciiTheme="minorEastAsia" w:hAnsiTheme="minorEastAsia"/>
          <w:sz w:val="24"/>
          <w:szCs w:val="24"/>
          <w:lang w:eastAsia="zh-CN"/>
        </w:rPr>
        <w:t>统计的全体毕业生的</w:t>
      </w:r>
      <w:r w:rsidR="002C374A">
        <w:rPr>
          <w:rFonts w:asciiTheme="minorEastAsia" w:hAnsiTheme="minorEastAsia" w:hint="eastAsia"/>
          <w:sz w:val="24"/>
          <w:szCs w:val="24"/>
          <w:lang w:eastAsia="zh-CN"/>
        </w:rPr>
        <w:t>就业</w:t>
      </w:r>
      <w:r w:rsidRPr="00401A2B">
        <w:rPr>
          <w:rFonts w:asciiTheme="minorEastAsia" w:hAnsiTheme="minorEastAsia"/>
          <w:sz w:val="24"/>
          <w:szCs w:val="24"/>
          <w:lang w:eastAsia="zh-CN"/>
        </w:rPr>
        <w:t>数据，再结合毕业时的调研结果，以全面反映毕业生的就业状况，以及毕业生对</w:t>
      </w:r>
      <w:r w:rsidR="009870A5" w:rsidRPr="00401A2B">
        <w:rPr>
          <w:rFonts w:asciiTheme="minorEastAsia" w:hAnsiTheme="minorEastAsia"/>
          <w:sz w:val="24"/>
          <w:szCs w:val="24"/>
          <w:lang w:eastAsia="zh-CN"/>
        </w:rPr>
        <w:t>学院</w:t>
      </w:r>
      <w:r w:rsidRPr="00401A2B">
        <w:rPr>
          <w:rFonts w:asciiTheme="minorEastAsia" w:hAnsiTheme="minorEastAsia"/>
          <w:sz w:val="24"/>
          <w:szCs w:val="24"/>
          <w:lang w:eastAsia="zh-CN"/>
        </w:rPr>
        <w:t>教育教学、就业指导工作的反馈。总的情况如下</w:t>
      </w:r>
      <w:r w:rsidRPr="00401A2B">
        <w:rPr>
          <w:rFonts w:asciiTheme="minorEastAsia" w:hAnsiTheme="minorEastAsia" w:hint="eastAsia"/>
          <w:sz w:val="24"/>
          <w:szCs w:val="24"/>
          <w:lang w:eastAsia="zh-CN"/>
        </w:rPr>
        <w:t>：</w:t>
      </w:r>
    </w:p>
    <w:p w:rsidR="00C812B8" w:rsidRPr="00401A2B" w:rsidRDefault="00C812B8" w:rsidP="00847378">
      <w:pPr>
        <w:spacing w:after="0"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401A2B">
        <w:rPr>
          <w:rFonts w:asciiTheme="minorEastAsia" w:hAnsiTheme="minorEastAsia"/>
          <w:sz w:val="24"/>
          <w:szCs w:val="24"/>
          <w:lang w:eastAsia="zh-CN"/>
        </w:rPr>
        <w:t>按照教育部公布的就业率计算公式，我</w:t>
      </w:r>
      <w:r w:rsidR="00A07A01" w:rsidRPr="00401A2B">
        <w:rPr>
          <w:rFonts w:asciiTheme="minorEastAsia" w:hAnsiTheme="minorEastAsia"/>
          <w:sz w:val="24"/>
          <w:szCs w:val="24"/>
          <w:lang w:eastAsia="zh-CN"/>
        </w:rPr>
        <w:t>院</w:t>
      </w:r>
      <w:r w:rsidRPr="00401A2B">
        <w:rPr>
          <w:rFonts w:asciiTheme="minorEastAsia" w:hAnsiTheme="minorEastAsia"/>
          <w:sz w:val="24"/>
          <w:szCs w:val="24"/>
          <w:lang w:eastAsia="zh-CN"/>
        </w:rPr>
        <w:t>201</w:t>
      </w:r>
      <w:r w:rsidRPr="00401A2B">
        <w:rPr>
          <w:rFonts w:asciiTheme="minorEastAsia" w:hAnsiTheme="minorEastAsia" w:hint="eastAsia"/>
          <w:sz w:val="24"/>
          <w:szCs w:val="24"/>
          <w:lang w:eastAsia="zh-CN"/>
        </w:rPr>
        <w:t>4</w:t>
      </w:r>
      <w:r w:rsidRPr="00401A2B">
        <w:rPr>
          <w:rFonts w:asciiTheme="minorEastAsia" w:hAnsiTheme="minorEastAsia"/>
          <w:sz w:val="24"/>
          <w:szCs w:val="24"/>
          <w:lang w:eastAsia="zh-CN"/>
        </w:rPr>
        <w:t>届</w:t>
      </w:r>
      <w:r w:rsidRPr="00401A2B">
        <w:rPr>
          <w:rFonts w:asciiTheme="minorEastAsia" w:hAnsiTheme="minorEastAsia" w:hint="eastAsia"/>
          <w:sz w:val="24"/>
          <w:szCs w:val="24"/>
          <w:lang w:eastAsia="zh-CN"/>
        </w:rPr>
        <w:t>本科</w:t>
      </w:r>
      <w:r w:rsidRPr="00401A2B">
        <w:rPr>
          <w:rFonts w:asciiTheme="minorEastAsia" w:hAnsiTheme="minorEastAsia"/>
          <w:sz w:val="24"/>
          <w:szCs w:val="24"/>
          <w:lang w:eastAsia="zh-CN"/>
        </w:rPr>
        <w:t>毕业生的总体就业率为</w:t>
      </w:r>
      <w:r w:rsidR="00C54042" w:rsidRPr="00401A2B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91.47</w:t>
      </w:r>
      <w:r w:rsidR="00C63566" w:rsidRPr="00401A2B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%</w:t>
      </w:r>
      <w:r w:rsidR="00C63566" w:rsidRPr="00401A2B">
        <w:rPr>
          <w:rFonts w:asciiTheme="minorEastAsia" w:hAnsiTheme="minorEastAsia" w:hint="eastAsia"/>
          <w:sz w:val="24"/>
          <w:szCs w:val="24"/>
          <w:lang w:eastAsia="zh-CN"/>
        </w:rPr>
        <w:t>。</w:t>
      </w:r>
    </w:p>
    <w:p w:rsidR="00C812B8" w:rsidRPr="003B4EB1" w:rsidRDefault="00C812B8" w:rsidP="00847378">
      <w:pPr>
        <w:spacing w:after="0"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401A2B">
        <w:rPr>
          <w:rFonts w:asciiTheme="minorEastAsia" w:hAnsiTheme="minorEastAsia"/>
          <w:sz w:val="24"/>
          <w:szCs w:val="24"/>
          <w:lang w:eastAsia="zh-CN"/>
        </w:rPr>
        <w:t>2014 届毕业生就业地集中在</w:t>
      </w:r>
      <w:r w:rsidR="00163B17" w:rsidRPr="00401A2B">
        <w:rPr>
          <w:rFonts w:asciiTheme="minorEastAsia" w:hAnsiTheme="minorEastAsia" w:hint="eastAsia"/>
          <w:sz w:val="24"/>
          <w:szCs w:val="24"/>
          <w:lang w:eastAsia="zh-CN"/>
        </w:rPr>
        <w:t>安徽</w:t>
      </w:r>
      <w:r w:rsidRPr="00401A2B">
        <w:rPr>
          <w:rFonts w:asciiTheme="minorEastAsia" w:hAnsiTheme="minorEastAsia"/>
          <w:sz w:val="24"/>
          <w:szCs w:val="24"/>
          <w:lang w:eastAsia="zh-CN"/>
        </w:rPr>
        <w:t>省，就业单位主要集中在</w:t>
      </w:r>
      <w:r w:rsidR="00FC509C" w:rsidRPr="00401A2B">
        <w:rPr>
          <w:rFonts w:asciiTheme="minorEastAsia" w:hAnsiTheme="minorEastAsia" w:hint="eastAsia"/>
          <w:sz w:val="24"/>
          <w:szCs w:val="24"/>
          <w:lang w:eastAsia="zh-CN"/>
        </w:rPr>
        <w:t>其他企业</w:t>
      </w:r>
      <w:r w:rsidRPr="00401A2B">
        <w:rPr>
          <w:rFonts w:asciiTheme="minorEastAsia" w:hAnsiTheme="minorEastAsia"/>
          <w:sz w:val="24"/>
          <w:szCs w:val="24"/>
          <w:lang w:eastAsia="zh-CN"/>
        </w:rPr>
        <w:t>；毕业生就业的行业主要集中在</w:t>
      </w:r>
      <w:r w:rsidR="00D10855" w:rsidRPr="00401A2B">
        <w:rPr>
          <w:rFonts w:asciiTheme="minorEastAsia" w:hAnsiTheme="minorEastAsia" w:hint="eastAsia"/>
          <w:sz w:val="24"/>
          <w:szCs w:val="24"/>
          <w:lang w:eastAsia="zh-CN"/>
        </w:rPr>
        <w:t>信息传输、软件和信息技术服务业</w:t>
      </w:r>
      <w:r w:rsidRPr="00401A2B">
        <w:rPr>
          <w:rFonts w:asciiTheme="minorEastAsia" w:hAnsiTheme="minorEastAsia"/>
          <w:sz w:val="24"/>
          <w:szCs w:val="24"/>
          <w:lang w:eastAsia="zh-CN"/>
        </w:rPr>
        <w:t xml:space="preserve">行业，占比为 </w:t>
      </w:r>
      <w:r w:rsidR="00D10855" w:rsidRPr="00401A2B">
        <w:rPr>
          <w:rFonts w:asciiTheme="minorEastAsia" w:hAnsiTheme="minorEastAsia" w:hint="eastAsia"/>
          <w:sz w:val="24"/>
          <w:szCs w:val="24"/>
          <w:lang w:eastAsia="zh-CN"/>
        </w:rPr>
        <w:t>18.12</w:t>
      </w:r>
      <w:r w:rsidRPr="00401A2B">
        <w:rPr>
          <w:rFonts w:asciiTheme="minorEastAsia" w:hAnsiTheme="minorEastAsia"/>
          <w:sz w:val="24"/>
          <w:szCs w:val="24"/>
          <w:lang w:eastAsia="zh-CN"/>
        </w:rPr>
        <w:t>%，其次为</w:t>
      </w:r>
      <w:r w:rsidR="00D10855" w:rsidRPr="00401A2B">
        <w:rPr>
          <w:rFonts w:asciiTheme="minorEastAsia" w:hAnsiTheme="minorEastAsia" w:hint="eastAsia"/>
          <w:sz w:val="24"/>
          <w:szCs w:val="24"/>
          <w:lang w:eastAsia="zh-CN"/>
        </w:rPr>
        <w:t>批发和零售业</w:t>
      </w:r>
      <w:r w:rsidRPr="00401A2B">
        <w:rPr>
          <w:rFonts w:asciiTheme="minorEastAsia" w:hAnsiTheme="minorEastAsia"/>
          <w:sz w:val="24"/>
          <w:szCs w:val="24"/>
          <w:lang w:eastAsia="zh-CN"/>
        </w:rPr>
        <w:t>行业。</w:t>
      </w:r>
    </w:p>
    <w:p w:rsidR="0020364C" w:rsidRDefault="0020364C" w:rsidP="00847378">
      <w:pPr>
        <w:spacing w:after="0"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</w:p>
    <w:p w:rsidR="00D468D9" w:rsidRDefault="00D468D9" w:rsidP="00847378">
      <w:pPr>
        <w:spacing w:after="0"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/>
          <w:sz w:val="24"/>
          <w:szCs w:val="24"/>
          <w:lang w:eastAsia="zh-CN"/>
        </w:rPr>
        <w:br w:type="page"/>
      </w:r>
    </w:p>
    <w:p w:rsidR="0020364C" w:rsidRPr="0020364C" w:rsidRDefault="0020364C" w:rsidP="00847378">
      <w:pPr>
        <w:spacing w:after="0"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20364C">
        <w:rPr>
          <w:rFonts w:asciiTheme="minorEastAsia" w:hAnsiTheme="minorEastAsia" w:hint="eastAsia"/>
          <w:sz w:val="24"/>
          <w:szCs w:val="24"/>
          <w:lang w:eastAsia="zh-CN"/>
        </w:rPr>
        <w:lastRenderedPageBreak/>
        <w:t>安徽大学江淮学院是经教育部批准，由安徽大学主办，纳入第三批本科录取的全日制普通高等教育本科院</w:t>
      </w:r>
      <w:r w:rsidR="00A07A01">
        <w:rPr>
          <w:rFonts w:asciiTheme="minorEastAsia" w:hAnsiTheme="minorEastAsia" w:hint="eastAsia"/>
          <w:sz w:val="24"/>
          <w:szCs w:val="24"/>
          <w:lang w:eastAsia="zh-CN"/>
        </w:rPr>
        <w:t>院</w:t>
      </w:r>
      <w:r w:rsidRPr="0020364C">
        <w:rPr>
          <w:rFonts w:asciiTheme="minorEastAsia" w:hAnsiTheme="minorEastAsia" w:hint="eastAsia"/>
          <w:sz w:val="24"/>
          <w:szCs w:val="24"/>
          <w:lang w:eastAsia="zh-CN"/>
        </w:rPr>
        <w:t>。学院办学的指导思想是：充分发挥安徽大学的办学优势和民营机制的办学活力，坚持“夯实基础、科学管理、确保优质教育”的指导方针，逐步把学院建设成特色鲜明的应用型本科院</w:t>
      </w:r>
      <w:r w:rsidR="00A07A01">
        <w:rPr>
          <w:rFonts w:asciiTheme="minorEastAsia" w:hAnsiTheme="minorEastAsia" w:hint="eastAsia"/>
          <w:sz w:val="24"/>
          <w:szCs w:val="24"/>
          <w:lang w:eastAsia="zh-CN"/>
        </w:rPr>
        <w:t>院</w:t>
      </w:r>
      <w:r w:rsidRPr="0020364C">
        <w:rPr>
          <w:rFonts w:asciiTheme="minorEastAsia" w:hAnsiTheme="minorEastAsia" w:hint="eastAsia"/>
          <w:sz w:val="24"/>
          <w:szCs w:val="24"/>
          <w:lang w:eastAsia="zh-CN"/>
        </w:rPr>
        <w:t>。</w:t>
      </w:r>
    </w:p>
    <w:p w:rsidR="0020364C" w:rsidRPr="0020364C" w:rsidRDefault="0020364C" w:rsidP="00847378">
      <w:pPr>
        <w:spacing w:after="0"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20364C">
        <w:rPr>
          <w:rFonts w:asciiTheme="minorEastAsia" w:hAnsiTheme="minorEastAsia" w:hint="eastAsia"/>
          <w:sz w:val="24"/>
          <w:szCs w:val="24"/>
          <w:lang w:eastAsia="zh-CN"/>
        </w:rPr>
        <w:t>学院坐落于国家四大科教基地之一的合肥，占地面积约720亩，分为龙河</w:t>
      </w:r>
      <w:r w:rsidR="00A07A01">
        <w:rPr>
          <w:rFonts w:asciiTheme="minorEastAsia" w:hAnsiTheme="minorEastAsia" w:hint="eastAsia"/>
          <w:sz w:val="24"/>
          <w:szCs w:val="24"/>
          <w:lang w:eastAsia="zh-CN"/>
        </w:rPr>
        <w:t>院</w:t>
      </w:r>
      <w:r w:rsidRPr="0020364C">
        <w:rPr>
          <w:rFonts w:asciiTheme="minorEastAsia" w:hAnsiTheme="minorEastAsia" w:hint="eastAsia"/>
          <w:sz w:val="24"/>
          <w:szCs w:val="24"/>
          <w:lang w:eastAsia="zh-CN"/>
        </w:rPr>
        <w:t>区（合肥市肥西路3号）和史河</w:t>
      </w:r>
      <w:r w:rsidR="00A07A01">
        <w:rPr>
          <w:rFonts w:asciiTheme="minorEastAsia" w:hAnsiTheme="minorEastAsia" w:hint="eastAsia"/>
          <w:sz w:val="24"/>
          <w:szCs w:val="24"/>
          <w:lang w:eastAsia="zh-CN"/>
        </w:rPr>
        <w:t>院</w:t>
      </w:r>
      <w:r w:rsidRPr="0020364C">
        <w:rPr>
          <w:rFonts w:asciiTheme="minorEastAsia" w:hAnsiTheme="minorEastAsia" w:hint="eastAsia"/>
          <w:sz w:val="24"/>
          <w:szCs w:val="24"/>
          <w:lang w:eastAsia="zh-CN"/>
        </w:rPr>
        <w:t>区（合肥市史河路8号），合肥十景之一“五里飞虹”横跨学院两个</w:t>
      </w:r>
      <w:r w:rsidR="00A07A01">
        <w:rPr>
          <w:rFonts w:asciiTheme="minorEastAsia" w:hAnsiTheme="minorEastAsia" w:hint="eastAsia"/>
          <w:sz w:val="24"/>
          <w:szCs w:val="24"/>
          <w:lang w:eastAsia="zh-CN"/>
        </w:rPr>
        <w:t>院</w:t>
      </w:r>
      <w:r w:rsidRPr="0020364C">
        <w:rPr>
          <w:rFonts w:asciiTheme="minorEastAsia" w:hAnsiTheme="minorEastAsia" w:hint="eastAsia"/>
          <w:sz w:val="24"/>
          <w:szCs w:val="24"/>
          <w:lang w:eastAsia="zh-CN"/>
        </w:rPr>
        <w:t>区。其中，拥有50多年文化底蕴的龙河</w:t>
      </w:r>
      <w:r w:rsidR="00A07A01">
        <w:rPr>
          <w:rFonts w:asciiTheme="minorEastAsia" w:hAnsiTheme="minorEastAsia" w:hint="eastAsia"/>
          <w:sz w:val="24"/>
          <w:szCs w:val="24"/>
          <w:lang w:eastAsia="zh-CN"/>
        </w:rPr>
        <w:t>院</w:t>
      </w:r>
      <w:r w:rsidRPr="0020364C">
        <w:rPr>
          <w:rFonts w:asciiTheme="minorEastAsia" w:hAnsiTheme="minorEastAsia" w:hint="eastAsia"/>
          <w:sz w:val="24"/>
          <w:szCs w:val="24"/>
          <w:lang w:eastAsia="zh-CN"/>
        </w:rPr>
        <w:t>区为主</w:t>
      </w:r>
      <w:r w:rsidR="00A07A01">
        <w:rPr>
          <w:rFonts w:asciiTheme="minorEastAsia" w:hAnsiTheme="minorEastAsia" w:hint="eastAsia"/>
          <w:sz w:val="24"/>
          <w:szCs w:val="24"/>
          <w:lang w:eastAsia="zh-CN"/>
        </w:rPr>
        <w:t>院</w:t>
      </w:r>
      <w:r w:rsidRPr="0020364C">
        <w:rPr>
          <w:rFonts w:asciiTheme="minorEastAsia" w:hAnsiTheme="minorEastAsia" w:hint="eastAsia"/>
          <w:sz w:val="24"/>
          <w:szCs w:val="24"/>
          <w:lang w:eastAsia="zh-CN"/>
        </w:rPr>
        <w:t>区，</w:t>
      </w:r>
      <w:r w:rsidR="00A07A01">
        <w:rPr>
          <w:rFonts w:asciiTheme="minorEastAsia" w:hAnsiTheme="minorEastAsia" w:hint="eastAsia"/>
          <w:sz w:val="24"/>
          <w:szCs w:val="24"/>
          <w:lang w:eastAsia="zh-CN"/>
        </w:rPr>
        <w:t>院</w:t>
      </w:r>
      <w:r w:rsidRPr="0020364C">
        <w:rPr>
          <w:rFonts w:asciiTheme="minorEastAsia" w:hAnsiTheme="minorEastAsia" w:hint="eastAsia"/>
          <w:sz w:val="24"/>
          <w:szCs w:val="24"/>
          <w:lang w:eastAsia="zh-CN"/>
        </w:rPr>
        <w:t>园幽静典雅、景色怡人，自然景观与人文景观水乳相融。学院拥有现代化的多媒体教室、语音室、实验室、计算机房、学术报告厅、图书馆、体育馆和配有宽带的学生宿舍，完善的教学和生活设施为学生提供了优越的学习、生活环境。</w:t>
      </w:r>
    </w:p>
    <w:p w:rsidR="0020364C" w:rsidRPr="0020364C" w:rsidRDefault="0020364C" w:rsidP="00847378">
      <w:pPr>
        <w:spacing w:after="0"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20364C">
        <w:rPr>
          <w:rFonts w:asciiTheme="minorEastAsia" w:hAnsiTheme="minorEastAsia" w:hint="eastAsia"/>
          <w:sz w:val="24"/>
          <w:szCs w:val="24"/>
          <w:lang w:eastAsia="zh-CN"/>
        </w:rPr>
        <w:t>学院围绕社会发展需求，不断优化专业结构。申请获批26个专业，涵盖经济学、理学、工学、文学、管理学、法学、艺术学七个学科门类，逐步建立起以应用性学科为主、多学科协调发展的专业体系。为了适应高等教育发展形势和社会发展需要，学院不断深化教学改革，制定了“3+1”教学计划，建立了个性化培养模式：前三年完成基础知识学习，最后一年让学生自我设计，进行个性化培养。对于准备考研的同学，开设英语强化班、专业知识提高班等辅导课程，并采取一系列激励措施，帮助同学们考研；对于准备就业的同学，将专业技能培训、资格认证与培养方案关联，制定“毕业证+学位证+技能证”三位一体的培养计划，开设资格证书培训班，增加实践实习课，在院内创建大学生创业实践基地，并与多家企事业单位签订实践实习和就业创业协议，以提高学生的就业竞争力和社会适应能力；对于有出国意向的同学，学院积极组织出国夏令营、出国学习交换生，与美国、英国等国的多所</w:t>
      </w:r>
      <w:r w:rsidR="009870A5">
        <w:rPr>
          <w:rFonts w:asciiTheme="minorEastAsia" w:hAnsiTheme="minorEastAsia" w:hint="eastAsia"/>
          <w:sz w:val="24"/>
          <w:szCs w:val="24"/>
          <w:lang w:eastAsia="zh-CN"/>
        </w:rPr>
        <w:t>学院</w:t>
      </w:r>
      <w:r w:rsidRPr="0020364C">
        <w:rPr>
          <w:rFonts w:asciiTheme="minorEastAsia" w:hAnsiTheme="minorEastAsia" w:hint="eastAsia"/>
          <w:sz w:val="24"/>
          <w:szCs w:val="24"/>
          <w:lang w:eastAsia="zh-CN"/>
        </w:rPr>
        <w:t>建立“2+2”、“4+1”等联合培养模式。</w:t>
      </w:r>
    </w:p>
    <w:p w:rsidR="0020364C" w:rsidRPr="0020364C" w:rsidRDefault="0020364C" w:rsidP="00847378">
      <w:pPr>
        <w:spacing w:after="0"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20364C">
        <w:rPr>
          <w:rFonts w:asciiTheme="minorEastAsia" w:hAnsiTheme="minorEastAsia" w:hint="eastAsia"/>
          <w:sz w:val="24"/>
          <w:szCs w:val="24"/>
          <w:lang w:eastAsia="zh-CN"/>
        </w:rPr>
        <w:t>学院不仅注意对学生的专业培养，而且十分注重提高学生的道德修养。我们感到，现在学生缺少的不是智力而是智慧、不是智商而是情商。因此，我们提出“加强情商教育、优化育人环境”的办学理念。将情商教育融入管理之中、教学之中，在师生员工中传递关爱之心、慈善之心，在全院上下强调以能力为本代替权力至上，权力使用要公正合法、利益分配要公平合理，使学生在温馨和谐的</w:t>
      </w:r>
      <w:r w:rsidR="00A07A01">
        <w:rPr>
          <w:rFonts w:asciiTheme="minorEastAsia" w:hAnsiTheme="minorEastAsia" w:hint="eastAsia"/>
          <w:sz w:val="24"/>
          <w:szCs w:val="24"/>
          <w:lang w:eastAsia="zh-CN"/>
        </w:rPr>
        <w:t>院</w:t>
      </w:r>
      <w:r w:rsidRPr="0020364C">
        <w:rPr>
          <w:rFonts w:asciiTheme="minorEastAsia" w:hAnsiTheme="minorEastAsia" w:hint="eastAsia"/>
          <w:sz w:val="24"/>
          <w:szCs w:val="24"/>
          <w:lang w:eastAsia="zh-CN"/>
        </w:rPr>
        <w:t>园里，愉快学习、幸福生活、和谐发展、成长成才。</w:t>
      </w:r>
    </w:p>
    <w:p w:rsidR="0020364C" w:rsidRPr="0020364C" w:rsidRDefault="0020364C" w:rsidP="00847378">
      <w:pPr>
        <w:spacing w:after="0"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20364C">
        <w:rPr>
          <w:rFonts w:asciiTheme="minorEastAsia" w:hAnsiTheme="minorEastAsia" w:hint="eastAsia"/>
          <w:sz w:val="24"/>
          <w:szCs w:val="24"/>
          <w:lang w:eastAsia="zh-CN"/>
        </w:rPr>
        <w:t>近年来，学院取得了一系列成绩：英语专业全国英语专业四级（TEM4）通过率常年保持在75%左右，高出全国二本院</w:t>
      </w:r>
      <w:r w:rsidR="00A07A01">
        <w:rPr>
          <w:rFonts w:asciiTheme="minorEastAsia" w:hAnsiTheme="minorEastAsia" w:hint="eastAsia"/>
          <w:sz w:val="24"/>
          <w:szCs w:val="24"/>
          <w:lang w:eastAsia="zh-CN"/>
        </w:rPr>
        <w:t>院</w:t>
      </w:r>
      <w:r w:rsidRPr="0020364C">
        <w:rPr>
          <w:rFonts w:asciiTheme="minorEastAsia" w:hAnsiTheme="minorEastAsia" w:hint="eastAsia"/>
          <w:sz w:val="24"/>
          <w:szCs w:val="24"/>
          <w:lang w:eastAsia="zh-CN"/>
        </w:rPr>
        <w:t>10个百分点，高于全国独立学院34</w:t>
      </w:r>
      <w:r w:rsidRPr="0020364C">
        <w:rPr>
          <w:rFonts w:asciiTheme="minorEastAsia" w:hAnsiTheme="minorEastAsia" w:hint="eastAsia"/>
          <w:sz w:val="24"/>
          <w:szCs w:val="24"/>
          <w:lang w:eastAsia="zh-CN"/>
        </w:rPr>
        <w:lastRenderedPageBreak/>
        <w:t>个百分点；近四年来，我院在全国和省级大学生英语竞赛、数学建模竞赛、电子设计竞赛、职业生涯规划大赛等多项竞赛中获奖90余项；每年考研录取率均在10%左右；由于学生资助工作成绩突出，自2008年安徽省实施民生工程考核以来，我院有三次荣获“民生工程高</w:t>
      </w:r>
      <w:r w:rsidR="00A07A01">
        <w:rPr>
          <w:rFonts w:asciiTheme="minorEastAsia" w:hAnsiTheme="minorEastAsia" w:hint="eastAsia"/>
          <w:sz w:val="24"/>
          <w:szCs w:val="24"/>
          <w:lang w:eastAsia="zh-CN"/>
        </w:rPr>
        <w:t>院</w:t>
      </w:r>
      <w:r w:rsidRPr="0020364C">
        <w:rPr>
          <w:rFonts w:asciiTheme="minorEastAsia" w:hAnsiTheme="minorEastAsia" w:hint="eastAsia"/>
          <w:sz w:val="24"/>
          <w:szCs w:val="24"/>
          <w:lang w:eastAsia="zh-CN"/>
        </w:rPr>
        <w:t>学生资助工作考核优秀单位”荣誉称号；培养的毕业生深受社会欢迎，每年都保持很高的就业率，在全省独立学院中，我院是唯一一所在2009、2010、2011、2012四年里连续获得“安徽省高等</w:t>
      </w:r>
      <w:r w:rsidR="009870A5">
        <w:rPr>
          <w:rFonts w:asciiTheme="minorEastAsia" w:hAnsiTheme="minorEastAsia" w:hint="eastAsia"/>
          <w:sz w:val="24"/>
          <w:szCs w:val="24"/>
          <w:lang w:eastAsia="zh-CN"/>
        </w:rPr>
        <w:t>学院</w:t>
      </w:r>
      <w:r w:rsidRPr="0020364C">
        <w:rPr>
          <w:rFonts w:asciiTheme="minorEastAsia" w:hAnsiTheme="minorEastAsia" w:hint="eastAsia"/>
          <w:sz w:val="24"/>
          <w:szCs w:val="24"/>
          <w:lang w:eastAsia="zh-CN"/>
        </w:rPr>
        <w:t>毕业生就业工作先进集体” 荣誉称号的独立学院。另外，学院还先后荣获团中央基层组织建设工作试点单位和“全国先进独立学院”荣誉称号。</w:t>
      </w:r>
    </w:p>
    <w:p w:rsidR="0020364C" w:rsidRPr="0020364C" w:rsidRDefault="0020364C" w:rsidP="00847378">
      <w:pPr>
        <w:spacing w:after="0"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20364C">
        <w:rPr>
          <w:rFonts w:asciiTheme="minorEastAsia" w:hAnsiTheme="minorEastAsia" w:hint="eastAsia"/>
          <w:sz w:val="24"/>
          <w:szCs w:val="24"/>
          <w:lang w:eastAsia="zh-CN"/>
        </w:rPr>
        <w:t>当前，安徽大学江淮学院全体师生意气风发、团结进取，正在为培养更多高素质人才而努力工作，正在为建设“省内一流、国内知名三本院</w:t>
      </w:r>
      <w:r w:rsidR="00A07A01">
        <w:rPr>
          <w:rFonts w:asciiTheme="minorEastAsia" w:hAnsiTheme="minorEastAsia" w:hint="eastAsia"/>
          <w:sz w:val="24"/>
          <w:szCs w:val="24"/>
          <w:lang w:eastAsia="zh-CN"/>
        </w:rPr>
        <w:t>院</w:t>
      </w:r>
      <w:r w:rsidRPr="0020364C">
        <w:rPr>
          <w:rFonts w:asciiTheme="minorEastAsia" w:hAnsiTheme="minorEastAsia" w:hint="eastAsia"/>
          <w:sz w:val="24"/>
          <w:szCs w:val="24"/>
          <w:lang w:eastAsia="zh-CN"/>
        </w:rPr>
        <w:t>”的奋斗目标而稳步迈进。</w:t>
      </w:r>
    </w:p>
    <w:p w:rsidR="00995388" w:rsidRDefault="00995388" w:rsidP="00847378">
      <w:pPr>
        <w:spacing w:after="0" w:line="360" w:lineRule="auto"/>
        <w:ind w:left="2120" w:right="-20"/>
        <w:rPr>
          <w:rFonts w:ascii="Microsoft JhengHei" w:eastAsia="Microsoft JhengHei" w:hAnsi="Microsoft JhengHei" w:cs="Microsoft JhengHei"/>
          <w:spacing w:val="2"/>
          <w:sz w:val="32"/>
          <w:szCs w:val="32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32"/>
          <w:szCs w:val="32"/>
          <w:lang w:eastAsia="zh-CN"/>
        </w:rPr>
        <w:br w:type="page"/>
      </w:r>
    </w:p>
    <w:p w:rsidR="00995388" w:rsidRPr="00995388" w:rsidRDefault="00995388" w:rsidP="00847378">
      <w:pPr>
        <w:spacing w:after="0" w:line="360" w:lineRule="auto"/>
        <w:ind w:left="2120" w:right="-20"/>
        <w:rPr>
          <w:rFonts w:ascii="Microsoft JhengHei" w:hAnsi="Microsoft JhengHei" w:cs="Microsoft JhengHei"/>
          <w:sz w:val="32"/>
          <w:szCs w:val="32"/>
          <w:lang w:eastAsia="zh-CN"/>
        </w:rPr>
      </w:pPr>
      <w:r>
        <w:rPr>
          <w:rFonts w:ascii="Microsoft JhengHei" w:hAnsi="Microsoft JhengHei" w:cs="Microsoft JhengHei" w:hint="eastAsia"/>
          <w:spacing w:val="2"/>
          <w:sz w:val="32"/>
          <w:szCs w:val="32"/>
          <w:lang w:eastAsia="zh-CN"/>
        </w:rPr>
        <w:lastRenderedPageBreak/>
        <w:t xml:space="preserve"> </w:t>
      </w:r>
    </w:p>
    <w:p w:rsidR="00995388" w:rsidRDefault="00995388" w:rsidP="00847378">
      <w:pPr>
        <w:widowControl/>
        <w:spacing w:after="0" w:line="360" w:lineRule="auto"/>
        <w:ind w:firstLine="560"/>
        <w:rPr>
          <w:rFonts w:asciiTheme="majorEastAsia" w:eastAsiaTheme="majorEastAsia" w:hAnsiTheme="majorEastAsia" w:cs="Microsoft JhengHei"/>
          <w:spacing w:val="2"/>
          <w:sz w:val="84"/>
          <w:szCs w:val="84"/>
          <w:lang w:eastAsia="zh-CN"/>
        </w:rPr>
      </w:pPr>
    </w:p>
    <w:p w:rsidR="00995388" w:rsidRDefault="00995388" w:rsidP="00847378">
      <w:pPr>
        <w:widowControl/>
        <w:spacing w:after="0" w:line="360" w:lineRule="auto"/>
        <w:ind w:firstLine="560"/>
        <w:rPr>
          <w:rFonts w:asciiTheme="majorEastAsia" w:eastAsiaTheme="majorEastAsia" w:hAnsiTheme="majorEastAsia" w:cs="Microsoft JhengHei"/>
          <w:spacing w:val="2"/>
          <w:sz w:val="84"/>
          <w:szCs w:val="84"/>
          <w:lang w:eastAsia="zh-CN"/>
        </w:rPr>
      </w:pPr>
      <w:r>
        <w:rPr>
          <w:rFonts w:asciiTheme="majorEastAsia" w:eastAsiaTheme="majorEastAsia" w:hAnsiTheme="majorEastAsia" w:cs="Microsoft JhengHei" w:hint="eastAsia"/>
          <w:spacing w:val="2"/>
          <w:sz w:val="84"/>
          <w:szCs w:val="84"/>
          <w:lang w:eastAsia="zh-CN"/>
        </w:rPr>
        <w:t>第一部分：</w:t>
      </w:r>
    </w:p>
    <w:p w:rsidR="00995388" w:rsidRDefault="00995388" w:rsidP="00847378">
      <w:pPr>
        <w:widowControl/>
        <w:spacing w:after="0" w:line="360" w:lineRule="auto"/>
        <w:ind w:firstLine="560"/>
        <w:rPr>
          <w:rFonts w:asciiTheme="majorEastAsia" w:eastAsiaTheme="majorEastAsia" w:hAnsiTheme="majorEastAsia" w:cs="Microsoft JhengHei"/>
          <w:spacing w:val="2"/>
          <w:sz w:val="84"/>
          <w:szCs w:val="84"/>
          <w:lang w:eastAsia="zh-CN"/>
        </w:rPr>
      </w:pPr>
    </w:p>
    <w:p w:rsidR="00995388" w:rsidRDefault="00995388" w:rsidP="00847378">
      <w:pPr>
        <w:widowControl/>
        <w:spacing w:after="0" w:line="360" w:lineRule="auto"/>
        <w:ind w:firstLine="560"/>
        <w:rPr>
          <w:rFonts w:asciiTheme="majorEastAsia" w:eastAsiaTheme="majorEastAsia" w:hAnsiTheme="majorEastAsia" w:cs="Microsoft JhengHei"/>
          <w:spacing w:val="2"/>
          <w:sz w:val="84"/>
          <w:szCs w:val="84"/>
          <w:lang w:eastAsia="zh-CN"/>
        </w:rPr>
      </w:pPr>
    </w:p>
    <w:p w:rsidR="00847378" w:rsidRDefault="00995388" w:rsidP="00847378">
      <w:pPr>
        <w:widowControl/>
        <w:spacing w:after="0" w:line="360" w:lineRule="auto"/>
        <w:ind w:firstLine="560"/>
        <w:rPr>
          <w:rFonts w:asciiTheme="majorEastAsia" w:eastAsiaTheme="majorEastAsia" w:hAnsiTheme="majorEastAsia" w:cs="Microsoft JhengHei"/>
          <w:spacing w:val="2"/>
          <w:sz w:val="84"/>
          <w:szCs w:val="84"/>
          <w:lang w:eastAsia="zh-CN"/>
        </w:rPr>
      </w:pPr>
      <w:r>
        <w:rPr>
          <w:rFonts w:asciiTheme="majorEastAsia" w:eastAsiaTheme="majorEastAsia" w:hAnsiTheme="majorEastAsia" w:cs="Microsoft JhengHei" w:hint="eastAsia"/>
          <w:spacing w:val="2"/>
          <w:sz w:val="84"/>
          <w:szCs w:val="84"/>
          <w:lang w:eastAsia="zh-CN"/>
        </w:rPr>
        <w:t>毕业生就业基本情况</w:t>
      </w:r>
    </w:p>
    <w:p w:rsidR="00D468D9" w:rsidRDefault="00D468D9" w:rsidP="00847378">
      <w:pPr>
        <w:widowControl/>
        <w:spacing w:after="0" w:line="360" w:lineRule="auto"/>
        <w:ind w:firstLine="560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br w:type="page"/>
      </w:r>
    </w:p>
    <w:p w:rsidR="00302D66" w:rsidRPr="00847378" w:rsidRDefault="00302D66" w:rsidP="00847378">
      <w:pPr>
        <w:widowControl/>
        <w:spacing w:after="0" w:line="360" w:lineRule="auto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r w:rsidRPr="00847378">
        <w:rPr>
          <w:rFonts w:asciiTheme="majorEastAsia" w:eastAsiaTheme="majorEastAsia" w:hAnsiTheme="majorEastAsia"/>
          <w:b/>
          <w:sz w:val="28"/>
          <w:szCs w:val="28"/>
          <w:lang w:eastAsia="zh-CN"/>
        </w:rPr>
        <w:lastRenderedPageBreak/>
        <w:t>一、毕业生的规模</w:t>
      </w:r>
    </w:p>
    <w:p w:rsidR="00302D66" w:rsidRDefault="00302D66" w:rsidP="00847378">
      <w:pPr>
        <w:widowControl/>
        <w:spacing w:after="0" w:line="360" w:lineRule="auto"/>
        <w:ind w:firstLine="560"/>
        <w:rPr>
          <w:rFonts w:asciiTheme="minorEastAsia" w:hAnsiTheme="minorEastAsia"/>
          <w:sz w:val="24"/>
          <w:szCs w:val="24"/>
          <w:lang w:eastAsia="zh-CN"/>
        </w:rPr>
      </w:pPr>
      <w:r w:rsidRPr="00302D66">
        <w:rPr>
          <w:rFonts w:asciiTheme="minorEastAsia" w:hAnsiTheme="minorEastAsia"/>
          <w:sz w:val="24"/>
          <w:szCs w:val="24"/>
          <w:lang w:eastAsia="zh-CN"/>
        </w:rPr>
        <w:t xml:space="preserve">安徽大学江淮学院 2014 届毕业生共 </w:t>
      </w:r>
      <w:r w:rsidRPr="00302D66">
        <w:rPr>
          <w:rFonts w:asciiTheme="minorEastAsia" w:hAnsiTheme="minorEastAsia" w:hint="eastAsia"/>
          <w:sz w:val="24"/>
          <w:szCs w:val="24"/>
          <w:lang w:eastAsia="zh-CN"/>
        </w:rPr>
        <w:t>1864</w:t>
      </w:r>
      <w:r w:rsidRPr="00302D66">
        <w:rPr>
          <w:rFonts w:asciiTheme="minorEastAsia" w:hAnsiTheme="minorEastAsia"/>
          <w:sz w:val="24"/>
          <w:szCs w:val="24"/>
          <w:lang w:eastAsia="zh-CN"/>
        </w:rPr>
        <w:t xml:space="preserve"> 名，与去年同期相比略有上（201</w:t>
      </w:r>
      <w:r w:rsidRPr="00302D66">
        <w:rPr>
          <w:rFonts w:asciiTheme="minorEastAsia" w:hAnsiTheme="minorEastAsia" w:hint="eastAsia"/>
          <w:sz w:val="24"/>
          <w:szCs w:val="24"/>
          <w:lang w:eastAsia="zh-CN"/>
        </w:rPr>
        <w:t>3</w:t>
      </w:r>
      <w:r w:rsidRPr="00302D66">
        <w:rPr>
          <w:rFonts w:asciiTheme="minorEastAsia" w:hAnsiTheme="minorEastAsia"/>
          <w:sz w:val="24"/>
          <w:szCs w:val="24"/>
          <w:lang w:eastAsia="zh-CN"/>
        </w:rPr>
        <w:t>届</w:t>
      </w:r>
      <w:r w:rsidR="002C374A">
        <w:rPr>
          <w:rFonts w:asciiTheme="minorEastAsia" w:hAnsiTheme="minorEastAsia" w:hint="eastAsia"/>
          <w:sz w:val="24"/>
          <w:szCs w:val="24"/>
          <w:lang w:eastAsia="zh-CN"/>
        </w:rPr>
        <w:t>1456</w:t>
      </w:r>
      <w:r w:rsidRPr="00302D66">
        <w:rPr>
          <w:rFonts w:asciiTheme="minorEastAsia" w:hAnsiTheme="minorEastAsia"/>
          <w:sz w:val="24"/>
          <w:szCs w:val="24"/>
          <w:lang w:eastAsia="zh-CN"/>
        </w:rPr>
        <w:t xml:space="preserve"> 人）。2014 届各学历层次毕业生人数如下图所示。对比近三年的数据发现</w:t>
      </w:r>
      <w:r w:rsidRPr="00302D66">
        <w:rPr>
          <w:rFonts w:asciiTheme="minorEastAsia" w:hAnsiTheme="minorEastAsia" w:hint="eastAsia"/>
          <w:sz w:val="24"/>
          <w:szCs w:val="24"/>
          <w:lang w:eastAsia="zh-CN"/>
        </w:rPr>
        <w:t>，</w:t>
      </w:r>
      <w:r w:rsidR="002C374A">
        <w:rPr>
          <w:rFonts w:asciiTheme="minorEastAsia" w:hAnsiTheme="minorEastAsia" w:hint="eastAsia"/>
          <w:sz w:val="24"/>
          <w:szCs w:val="24"/>
          <w:lang w:eastAsia="zh-CN"/>
        </w:rPr>
        <w:t>2014届毕业生人数有较大</w:t>
      </w:r>
      <w:r w:rsidRPr="00302D66">
        <w:rPr>
          <w:rFonts w:asciiTheme="minorEastAsia" w:hAnsiTheme="minorEastAsia"/>
          <w:sz w:val="24"/>
          <w:szCs w:val="24"/>
          <w:lang w:eastAsia="zh-CN"/>
        </w:rPr>
        <w:t>增长。</w:t>
      </w:r>
    </w:p>
    <w:p w:rsidR="006466AE" w:rsidRDefault="006466AE" w:rsidP="00847378">
      <w:pPr>
        <w:widowControl/>
        <w:spacing w:after="0" w:line="360" w:lineRule="auto"/>
        <w:ind w:firstLine="560"/>
        <w:rPr>
          <w:rFonts w:asciiTheme="minorEastAsia" w:hAnsiTheme="minorEastAsia"/>
          <w:sz w:val="24"/>
          <w:szCs w:val="24"/>
          <w:lang w:eastAsia="zh-CN"/>
        </w:rPr>
      </w:pPr>
    </w:p>
    <w:p w:rsidR="006466AE" w:rsidRDefault="006466AE" w:rsidP="00847378">
      <w:pPr>
        <w:widowControl/>
        <w:spacing w:after="0" w:line="360" w:lineRule="auto"/>
        <w:ind w:firstLine="56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noProof/>
          <w:sz w:val="24"/>
          <w:szCs w:val="24"/>
          <w:lang w:eastAsia="zh-CN"/>
        </w:rPr>
        <w:drawing>
          <wp:inline distT="0" distB="0" distL="0" distR="0" wp14:anchorId="30698814" wp14:editId="5B9639D6">
            <wp:extent cx="4476584" cy="3029447"/>
            <wp:effectExtent l="0" t="0" r="19685" b="1905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5D77" w:rsidRPr="00302D66" w:rsidRDefault="00BE5D77" w:rsidP="00847378">
      <w:pPr>
        <w:widowControl/>
        <w:spacing w:after="0" w:line="360" w:lineRule="auto"/>
        <w:ind w:firstLineChars="550" w:firstLine="1320"/>
        <w:rPr>
          <w:rFonts w:asciiTheme="minorEastAsia" w:hAnsiTheme="minorEastAsia"/>
          <w:sz w:val="24"/>
          <w:szCs w:val="24"/>
          <w:lang w:eastAsia="zh-CN"/>
        </w:rPr>
      </w:pPr>
      <w:r w:rsidRPr="00302D66">
        <w:rPr>
          <w:rFonts w:asciiTheme="minorEastAsia" w:hAnsiTheme="minorEastAsia"/>
          <w:sz w:val="24"/>
          <w:szCs w:val="24"/>
          <w:lang w:eastAsia="zh-CN"/>
        </w:rPr>
        <w:t>图 1-1  2012 届-2014 届各学历毕业生人数</w:t>
      </w:r>
      <w:r w:rsidR="002C374A">
        <w:rPr>
          <w:rFonts w:asciiTheme="minorEastAsia" w:hAnsiTheme="minorEastAsia" w:hint="eastAsia"/>
          <w:sz w:val="24"/>
          <w:szCs w:val="24"/>
          <w:lang w:eastAsia="zh-CN"/>
        </w:rPr>
        <w:t>柱状图</w:t>
      </w:r>
    </w:p>
    <w:p w:rsidR="008D135C" w:rsidRDefault="008D135C" w:rsidP="00847378">
      <w:pPr>
        <w:widowControl/>
        <w:spacing w:after="0" w:line="360" w:lineRule="auto"/>
        <w:rPr>
          <w:rFonts w:asciiTheme="minorEastAsia" w:hAnsiTheme="minorEastAsia"/>
          <w:sz w:val="24"/>
          <w:szCs w:val="24"/>
          <w:lang w:eastAsia="zh-CN"/>
        </w:rPr>
      </w:pPr>
    </w:p>
    <w:p w:rsidR="008D135C" w:rsidRPr="00847378" w:rsidRDefault="008D135C" w:rsidP="00847378">
      <w:pPr>
        <w:spacing w:after="0" w:line="360" w:lineRule="auto"/>
        <w:ind w:right="-20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r w:rsidRPr="00847378">
        <w:rPr>
          <w:rFonts w:asciiTheme="majorEastAsia" w:eastAsiaTheme="majorEastAsia" w:hAnsiTheme="majorEastAsia"/>
          <w:b/>
          <w:sz w:val="28"/>
          <w:szCs w:val="28"/>
          <w:lang w:eastAsia="zh-CN"/>
        </w:rPr>
        <w:t>二、毕业生的结构</w:t>
      </w:r>
    </w:p>
    <w:p w:rsidR="008D135C" w:rsidRPr="001C0075" w:rsidRDefault="008D135C" w:rsidP="00847378">
      <w:pPr>
        <w:spacing w:after="0" w:line="360" w:lineRule="auto"/>
        <w:ind w:left="140" w:right="-20" w:firstLineChars="200" w:firstLine="48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1C0075">
        <w:rPr>
          <w:rFonts w:asciiTheme="majorEastAsia" w:eastAsiaTheme="majorEastAsia" w:hAnsiTheme="majorEastAsia"/>
          <w:sz w:val="24"/>
          <w:szCs w:val="24"/>
          <w:lang w:eastAsia="zh-CN"/>
        </w:rPr>
        <w:t>（一）毕业生院系分布</w:t>
      </w:r>
    </w:p>
    <w:p w:rsidR="008D135C" w:rsidRDefault="008D135C" w:rsidP="00847378">
      <w:pPr>
        <w:spacing w:after="0" w:line="360" w:lineRule="auto"/>
        <w:ind w:left="140" w:right="142"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8D135C">
        <w:rPr>
          <w:rFonts w:asciiTheme="minorEastAsia" w:hAnsiTheme="minorEastAsia"/>
          <w:sz w:val="24"/>
          <w:szCs w:val="24"/>
          <w:lang w:eastAsia="zh-CN"/>
        </w:rPr>
        <w:t>我</w:t>
      </w:r>
      <w:r w:rsidR="00A07A01">
        <w:rPr>
          <w:rFonts w:asciiTheme="minorEastAsia" w:hAnsiTheme="minorEastAsia"/>
          <w:sz w:val="24"/>
          <w:szCs w:val="24"/>
          <w:lang w:eastAsia="zh-CN"/>
        </w:rPr>
        <w:t>院</w:t>
      </w:r>
      <w:r w:rsidRPr="008D135C">
        <w:rPr>
          <w:rFonts w:asciiTheme="minorEastAsia" w:hAnsiTheme="minorEastAsia"/>
          <w:sz w:val="24"/>
          <w:szCs w:val="24"/>
          <w:lang w:eastAsia="zh-CN"/>
        </w:rPr>
        <w:t xml:space="preserve"> 2014 届毕业生分布在</w:t>
      </w:r>
      <w:r w:rsidR="0093018F">
        <w:rPr>
          <w:rFonts w:asciiTheme="minorEastAsia" w:hAnsiTheme="minorEastAsia" w:hint="eastAsia"/>
          <w:sz w:val="24"/>
          <w:szCs w:val="24"/>
          <w:lang w:eastAsia="zh-CN"/>
        </w:rPr>
        <w:t>5</w:t>
      </w:r>
      <w:r w:rsidRPr="008D135C">
        <w:rPr>
          <w:rFonts w:asciiTheme="minorEastAsia" w:hAnsiTheme="minorEastAsia"/>
          <w:sz w:val="24"/>
          <w:szCs w:val="24"/>
          <w:lang w:eastAsia="zh-CN"/>
        </w:rPr>
        <w:t>个</w:t>
      </w:r>
      <w:r w:rsidR="0093018F">
        <w:rPr>
          <w:rFonts w:asciiTheme="minorEastAsia" w:hAnsiTheme="minorEastAsia" w:hint="eastAsia"/>
          <w:sz w:val="24"/>
          <w:szCs w:val="24"/>
          <w:lang w:eastAsia="zh-CN"/>
        </w:rPr>
        <w:t>系</w:t>
      </w:r>
      <w:r w:rsidRPr="008D135C">
        <w:rPr>
          <w:rFonts w:asciiTheme="minorEastAsia" w:hAnsiTheme="minorEastAsia"/>
          <w:sz w:val="24"/>
          <w:szCs w:val="24"/>
          <w:lang w:eastAsia="zh-CN"/>
        </w:rPr>
        <w:t>，各</w:t>
      </w:r>
      <w:r w:rsidR="0093018F">
        <w:rPr>
          <w:rFonts w:asciiTheme="minorEastAsia" w:hAnsiTheme="minorEastAsia" w:hint="eastAsia"/>
          <w:sz w:val="24"/>
          <w:szCs w:val="24"/>
          <w:lang w:eastAsia="zh-CN"/>
        </w:rPr>
        <w:t>系</w:t>
      </w:r>
      <w:r w:rsidRPr="008D135C">
        <w:rPr>
          <w:rFonts w:asciiTheme="minorEastAsia" w:hAnsiTheme="minorEastAsia"/>
          <w:sz w:val="24"/>
          <w:szCs w:val="24"/>
          <w:lang w:eastAsia="zh-CN"/>
        </w:rPr>
        <w:t>毕业生人数如下表所示。其中毕业生人数占比排名前三位的学院分别是：</w:t>
      </w:r>
      <w:r w:rsidR="00A7639C" w:rsidRPr="00185D92">
        <w:rPr>
          <w:rFonts w:asciiTheme="minorEastAsia" w:hAnsiTheme="minorEastAsia"/>
          <w:sz w:val="24"/>
          <w:szCs w:val="24"/>
          <w:lang w:eastAsia="zh-CN"/>
        </w:rPr>
        <w:t>计算机科学与电子技术系</w:t>
      </w:r>
      <w:r w:rsidRPr="008D135C">
        <w:rPr>
          <w:rFonts w:asciiTheme="minorEastAsia" w:hAnsiTheme="minorEastAsia"/>
          <w:sz w:val="24"/>
          <w:szCs w:val="24"/>
          <w:lang w:eastAsia="zh-CN"/>
        </w:rPr>
        <w:t>，占毕业生总人数的</w:t>
      </w:r>
      <w:r w:rsidR="00A7639C">
        <w:rPr>
          <w:rFonts w:asciiTheme="minorEastAsia" w:hAnsiTheme="minorEastAsia" w:hint="eastAsia"/>
          <w:sz w:val="24"/>
          <w:szCs w:val="24"/>
          <w:lang w:eastAsia="zh-CN"/>
        </w:rPr>
        <w:t>33.58</w:t>
      </w:r>
      <w:r w:rsidRPr="008D135C">
        <w:rPr>
          <w:rFonts w:asciiTheme="minorEastAsia" w:hAnsiTheme="minorEastAsia"/>
          <w:sz w:val="24"/>
          <w:szCs w:val="24"/>
          <w:lang w:eastAsia="zh-CN"/>
        </w:rPr>
        <w:t>%；第二</w:t>
      </w:r>
      <w:r w:rsidR="00A7639C" w:rsidRPr="00185D92">
        <w:rPr>
          <w:rFonts w:asciiTheme="minorEastAsia" w:hAnsiTheme="minorEastAsia"/>
          <w:sz w:val="24"/>
          <w:szCs w:val="24"/>
          <w:lang w:eastAsia="zh-CN"/>
        </w:rPr>
        <w:t>管理系</w:t>
      </w:r>
      <w:r w:rsidRPr="008D135C">
        <w:rPr>
          <w:rFonts w:asciiTheme="minorEastAsia" w:hAnsiTheme="minorEastAsia"/>
          <w:sz w:val="24"/>
          <w:szCs w:val="24"/>
          <w:lang w:eastAsia="zh-CN"/>
        </w:rPr>
        <w:t>，占毕业生总人数的</w:t>
      </w:r>
      <w:r w:rsidR="00A7639C">
        <w:rPr>
          <w:rFonts w:asciiTheme="minorEastAsia" w:hAnsiTheme="minorEastAsia" w:hint="eastAsia"/>
          <w:sz w:val="24"/>
          <w:szCs w:val="24"/>
          <w:lang w:eastAsia="zh-CN"/>
        </w:rPr>
        <w:t>32.94</w:t>
      </w:r>
      <w:r w:rsidRPr="008D135C">
        <w:rPr>
          <w:rFonts w:asciiTheme="minorEastAsia" w:hAnsiTheme="minorEastAsia"/>
          <w:sz w:val="24"/>
          <w:szCs w:val="24"/>
          <w:lang w:eastAsia="zh-CN"/>
        </w:rPr>
        <w:t>%；</w:t>
      </w:r>
      <w:r w:rsidR="00A7639C">
        <w:rPr>
          <w:rFonts w:asciiTheme="minorEastAsia" w:hAnsiTheme="minorEastAsia" w:hint="eastAsia"/>
          <w:sz w:val="24"/>
          <w:szCs w:val="24"/>
          <w:lang w:eastAsia="zh-CN"/>
        </w:rPr>
        <w:t>第三经济学</w:t>
      </w:r>
      <w:r w:rsidRPr="008D135C">
        <w:rPr>
          <w:rFonts w:asciiTheme="minorEastAsia" w:hAnsiTheme="minorEastAsia"/>
          <w:sz w:val="24"/>
          <w:szCs w:val="24"/>
          <w:lang w:eastAsia="zh-CN"/>
        </w:rPr>
        <w:t>，占毕业生总人数</w:t>
      </w:r>
      <w:r w:rsidR="00A7639C">
        <w:rPr>
          <w:rFonts w:asciiTheme="minorEastAsia" w:hAnsiTheme="minorEastAsia" w:hint="eastAsia"/>
          <w:sz w:val="24"/>
          <w:szCs w:val="24"/>
          <w:lang w:eastAsia="zh-CN"/>
        </w:rPr>
        <w:t>的</w:t>
      </w:r>
      <w:r w:rsidR="00A7639C" w:rsidRPr="00185D92">
        <w:rPr>
          <w:rFonts w:asciiTheme="minorEastAsia" w:hAnsiTheme="minorEastAsia"/>
          <w:sz w:val="24"/>
          <w:szCs w:val="24"/>
          <w:lang w:eastAsia="zh-CN"/>
        </w:rPr>
        <w:t>14.81%</w:t>
      </w:r>
      <w:r w:rsidRPr="008D135C">
        <w:rPr>
          <w:rFonts w:asciiTheme="minorEastAsia" w:hAnsiTheme="minorEastAsia"/>
          <w:sz w:val="24"/>
          <w:szCs w:val="24"/>
          <w:lang w:eastAsia="zh-CN"/>
        </w:rPr>
        <w:t>。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7072"/>
      </w:tblGrid>
      <w:tr w:rsidR="00185D92" w:rsidTr="00185D92">
        <w:trPr>
          <w:trHeight w:hRule="exact" w:val="404"/>
        </w:trPr>
        <w:tc>
          <w:tcPr>
            <w:tcW w:w="571" w:type="dxa"/>
            <w:tcBorders>
              <w:top w:val="nil"/>
              <w:left w:val="nil"/>
              <w:bottom w:val="single" w:sz="8" w:space="0" w:color="5B9BD4"/>
              <w:right w:val="nil"/>
            </w:tcBorders>
          </w:tcPr>
          <w:p w:rsidR="00185D92" w:rsidRDefault="00185D92" w:rsidP="00847378">
            <w:pPr>
              <w:spacing w:after="0" w:line="360" w:lineRule="auto"/>
              <w:ind w:left="101" w:right="-20" w:firstLineChars="550" w:firstLine="1155"/>
              <w:jc w:val="center"/>
              <w:rPr>
                <w:rFonts w:ascii="Microsoft JhengHei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5B9BD4"/>
              <w:right w:val="nil"/>
            </w:tcBorders>
          </w:tcPr>
          <w:p w:rsidR="00185D92" w:rsidRPr="00185D92" w:rsidRDefault="00185D92" w:rsidP="00847378">
            <w:pPr>
              <w:spacing w:after="0" w:line="360" w:lineRule="auto"/>
              <w:ind w:right="-20"/>
              <w:jc w:val="center"/>
              <w:rPr>
                <w:rFonts w:ascii="Arial" w:hAnsi="Arial" w:cs="Arial"/>
                <w:w w:val="90"/>
                <w:sz w:val="21"/>
                <w:szCs w:val="21"/>
                <w:lang w:eastAsia="zh-CN"/>
              </w:rPr>
            </w:pPr>
            <w:r>
              <w:rPr>
                <w:rFonts w:ascii="Arial" w:hAnsi="Arial" w:cs="Arial" w:hint="eastAsia"/>
                <w:w w:val="90"/>
                <w:sz w:val="21"/>
                <w:szCs w:val="21"/>
                <w:lang w:eastAsia="zh-CN"/>
              </w:rPr>
              <w:t>表</w:t>
            </w:r>
            <w:r>
              <w:rPr>
                <w:rFonts w:ascii="Arial" w:hAnsi="Arial" w:cs="Arial" w:hint="eastAsia"/>
                <w:w w:val="90"/>
                <w:sz w:val="21"/>
                <w:szCs w:val="21"/>
                <w:lang w:eastAsia="zh-CN"/>
              </w:rPr>
              <w:t>1-</w:t>
            </w:r>
            <w:r w:rsidR="002C7F43">
              <w:rPr>
                <w:rFonts w:ascii="Arial" w:hAnsi="Arial" w:cs="Arial" w:hint="eastAsia"/>
                <w:w w:val="90"/>
                <w:sz w:val="21"/>
                <w:szCs w:val="21"/>
                <w:lang w:eastAsia="zh-CN"/>
              </w:rPr>
              <w:t>1</w:t>
            </w:r>
            <w:r>
              <w:rPr>
                <w:rFonts w:ascii="Arial" w:hAnsi="Arial" w:cs="Arial" w:hint="eastAsia"/>
                <w:w w:val="90"/>
                <w:sz w:val="21"/>
                <w:szCs w:val="21"/>
                <w:lang w:eastAsia="zh-CN"/>
              </w:rPr>
              <w:t xml:space="preserve">   2014</w:t>
            </w:r>
            <w:r>
              <w:rPr>
                <w:rFonts w:ascii="Arial" w:hAnsi="Arial" w:cs="Arial" w:hint="eastAsia"/>
                <w:w w:val="90"/>
                <w:sz w:val="21"/>
                <w:szCs w:val="21"/>
                <w:lang w:eastAsia="zh-CN"/>
              </w:rPr>
              <w:t>届毕业生的系分布</w:t>
            </w:r>
          </w:p>
        </w:tc>
      </w:tr>
    </w:tbl>
    <w:p w:rsidR="00185D92" w:rsidRDefault="00185D92" w:rsidP="00847378">
      <w:pPr>
        <w:spacing w:after="0" w:line="360" w:lineRule="auto"/>
        <w:ind w:right="142"/>
        <w:rPr>
          <w:rFonts w:asciiTheme="minorEastAsia" w:hAnsiTheme="minorEastAsia"/>
          <w:sz w:val="24"/>
          <w:szCs w:val="24"/>
          <w:lang w:eastAsia="zh-CN"/>
        </w:rPr>
      </w:pPr>
    </w:p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2540"/>
        <w:gridCol w:w="2400"/>
        <w:gridCol w:w="2920"/>
      </w:tblGrid>
      <w:tr w:rsidR="00185D92" w:rsidRPr="00185D92" w:rsidTr="00185D92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185D92" w:rsidRPr="00185D92" w:rsidRDefault="00185D92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b/>
                <w:color w:val="366092"/>
                <w:sz w:val="20"/>
                <w:szCs w:val="20"/>
                <w:lang w:eastAsia="zh-CN"/>
              </w:rPr>
            </w:pPr>
            <w:r w:rsidRPr="00185D92">
              <w:rPr>
                <w:rFonts w:ascii="Arial" w:eastAsia="宋体" w:hAnsi="Arial" w:cs="Arial"/>
                <w:b/>
                <w:color w:val="366092"/>
                <w:sz w:val="20"/>
                <w:szCs w:val="20"/>
                <w:lang w:eastAsia="zh-CN"/>
              </w:rPr>
              <w:t>系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185D92" w:rsidRPr="00185D92" w:rsidRDefault="00185D92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b/>
                <w:color w:val="366092"/>
                <w:sz w:val="20"/>
                <w:szCs w:val="20"/>
                <w:lang w:eastAsia="zh-CN"/>
              </w:rPr>
            </w:pPr>
            <w:r w:rsidRPr="00185D92">
              <w:rPr>
                <w:rFonts w:ascii="Arial" w:eastAsia="宋体" w:hAnsi="Arial" w:cs="Arial"/>
                <w:b/>
                <w:color w:val="366092"/>
                <w:sz w:val="20"/>
                <w:szCs w:val="20"/>
                <w:lang w:eastAsia="zh-CN"/>
              </w:rPr>
              <w:t>人数（人）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185D92" w:rsidRPr="00185D92" w:rsidRDefault="00185D92" w:rsidP="00847378">
            <w:pPr>
              <w:widowControl/>
              <w:spacing w:after="0" w:line="360" w:lineRule="auto"/>
              <w:ind w:firstLineChars="550" w:firstLine="1104"/>
              <w:rPr>
                <w:rFonts w:ascii="宋体" w:eastAsia="宋体" w:hAnsi="宋体" w:cs="Arial"/>
                <w:b/>
                <w:color w:val="366092"/>
                <w:sz w:val="20"/>
                <w:szCs w:val="20"/>
                <w:lang w:eastAsia="zh-CN"/>
              </w:rPr>
            </w:pPr>
            <w:r w:rsidRPr="00185D92">
              <w:rPr>
                <w:rFonts w:ascii="宋体" w:eastAsia="宋体" w:hAnsi="宋体" w:cs="Arial" w:hint="eastAsia"/>
                <w:b/>
                <w:color w:val="366092"/>
                <w:sz w:val="20"/>
                <w:szCs w:val="20"/>
                <w:lang w:eastAsia="zh-CN"/>
              </w:rPr>
              <w:t>比率</w:t>
            </w:r>
          </w:p>
        </w:tc>
      </w:tr>
      <w:tr w:rsidR="00185D92" w:rsidRPr="00185D92" w:rsidTr="00185D92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92" w:rsidRPr="00185D92" w:rsidRDefault="00185D92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</w:pPr>
            <w:r w:rsidRPr="00185D92"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  <w:t>管理系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92" w:rsidRPr="00185D92" w:rsidRDefault="00185D92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</w:pPr>
            <w:r w:rsidRPr="00185D92"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  <w:t>614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92" w:rsidRPr="00185D92" w:rsidRDefault="00185D92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</w:pPr>
            <w:r w:rsidRPr="00185D92"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  <w:t>32.94%</w:t>
            </w:r>
          </w:p>
        </w:tc>
      </w:tr>
      <w:tr w:rsidR="00185D92" w:rsidRPr="00185D92" w:rsidTr="00185D92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185D92" w:rsidRPr="00185D92" w:rsidRDefault="00185D92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</w:pPr>
            <w:r w:rsidRPr="00185D92"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  <w:t>计算机科学与电子技术系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185D92" w:rsidRPr="00185D92" w:rsidRDefault="00185D92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</w:pPr>
            <w:r w:rsidRPr="00185D92"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  <w:t>626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185D92" w:rsidRPr="00185D92" w:rsidRDefault="00185D92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</w:pPr>
            <w:r w:rsidRPr="00185D92"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  <w:t>33.58%</w:t>
            </w:r>
          </w:p>
        </w:tc>
      </w:tr>
      <w:tr w:rsidR="00185D92" w:rsidRPr="00185D92" w:rsidTr="00185D92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92" w:rsidRPr="00185D92" w:rsidRDefault="00185D92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</w:pPr>
            <w:r w:rsidRPr="00185D92"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  <w:t>经济系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92" w:rsidRPr="00185D92" w:rsidRDefault="00185D92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</w:pPr>
            <w:r w:rsidRPr="00185D92"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  <w:t>276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92" w:rsidRPr="00185D92" w:rsidRDefault="00185D92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</w:pPr>
            <w:r w:rsidRPr="00185D92"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  <w:t>14.81%</w:t>
            </w:r>
          </w:p>
        </w:tc>
      </w:tr>
      <w:tr w:rsidR="00185D92" w:rsidRPr="00185D92" w:rsidTr="00185D92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185D92" w:rsidRPr="00185D92" w:rsidRDefault="00185D92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</w:pPr>
            <w:r w:rsidRPr="00185D92"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  <w:lastRenderedPageBreak/>
              <w:t>生物化学系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185D92" w:rsidRPr="00185D92" w:rsidRDefault="00185D92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</w:pPr>
            <w:r w:rsidRPr="00185D92"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185D92" w:rsidRPr="00185D92" w:rsidRDefault="00185D92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</w:pPr>
            <w:r w:rsidRPr="00185D92"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  <w:t>4.13%</w:t>
            </w:r>
          </w:p>
        </w:tc>
      </w:tr>
      <w:tr w:rsidR="00185D92" w:rsidRPr="00185D92" w:rsidTr="00185D92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92" w:rsidRPr="00185D92" w:rsidRDefault="00185D92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</w:pPr>
            <w:r w:rsidRPr="00185D92"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  <w:t>文法系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92" w:rsidRPr="00185D92" w:rsidRDefault="00185D92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</w:pPr>
            <w:r w:rsidRPr="00185D92"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  <w:t>271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92" w:rsidRPr="00185D92" w:rsidRDefault="00185D92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</w:pPr>
            <w:r w:rsidRPr="00185D92"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  <w:t>14.54%</w:t>
            </w:r>
          </w:p>
        </w:tc>
      </w:tr>
      <w:tr w:rsidR="00185D92" w:rsidRPr="00185D92" w:rsidTr="00185D92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185D92" w:rsidRPr="00185D92" w:rsidRDefault="00185D92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</w:pPr>
            <w:r w:rsidRPr="00185D92"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185D92" w:rsidRPr="00185D92" w:rsidRDefault="00185D92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</w:pPr>
            <w:r w:rsidRPr="00185D92"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  <w:t>1864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185D92" w:rsidRPr="00185D92" w:rsidRDefault="00185D92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</w:pPr>
            <w:r w:rsidRPr="00185D92">
              <w:rPr>
                <w:rFonts w:ascii="Arial" w:eastAsia="宋体" w:hAnsi="Arial" w:cs="Arial"/>
                <w:color w:val="366092"/>
                <w:sz w:val="20"/>
                <w:szCs w:val="20"/>
                <w:lang w:eastAsia="zh-CN"/>
              </w:rPr>
              <w:t>100</w:t>
            </w:r>
            <w:r>
              <w:rPr>
                <w:rFonts w:ascii="Arial" w:eastAsia="宋体" w:hAnsi="Arial" w:cs="Arial" w:hint="eastAsia"/>
                <w:color w:val="366092"/>
                <w:sz w:val="20"/>
                <w:szCs w:val="20"/>
                <w:lang w:eastAsia="zh-CN"/>
              </w:rPr>
              <w:t>．</w:t>
            </w:r>
            <w:r>
              <w:rPr>
                <w:rFonts w:ascii="Arial" w:eastAsia="宋体" w:hAnsi="Arial" w:cs="Arial" w:hint="eastAsia"/>
                <w:color w:val="366092"/>
                <w:sz w:val="20"/>
                <w:szCs w:val="20"/>
                <w:lang w:eastAsia="zh-CN"/>
              </w:rPr>
              <w:t>00</w:t>
            </w:r>
          </w:p>
        </w:tc>
      </w:tr>
    </w:tbl>
    <w:p w:rsidR="002C374A" w:rsidRDefault="002C374A" w:rsidP="00847378">
      <w:pPr>
        <w:spacing w:after="0" w:line="360" w:lineRule="auto"/>
        <w:ind w:right="142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</w:p>
    <w:p w:rsidR="00C233DE" w:rsidRDefault="00C233DE" w:rsidP="00847378">
      <w:pPr>
        <w:spacing w:after="0" w:line="360" w:lineRule="auto"/>
        <w:ind w:right="142"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C233DE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（</w:t>
      </w:r>
      <w:r w:rsidRPr="00C233DE">
        <w:rPr>
          <w:rFonts w:asciiTheme="minorEastAsia" w:hAnsiTheme="minorEastAsia"/>
          <w:sz w:val="24"/>
          <w:szCs w:val="24"/>
          <w:lang w:eastAsia="zh-CN"/>
        </w:rPr>
        <w:t>二）毕业生的基本情况</w:t>
      </w:r>
    </w:p>
    <w:p w:rsidR="002C374A" w:rsidRPr="00C233DE" w:rsidRDefault="002C374A" w:rsidP="00847378">
      <w:pPr>
        <w:spacing w:after="0" w:line="360" w:lineRule="auto"/>
        <w:ind w:right="142"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2C374A">
        <w:rPr>
          <w:rFonts w:asciiTheme="minorEastAsia" w:hAnsiTheme="minorEastAsia" w:hint="eastAsia"/>
          <w:sz w:val="24"/>
          <w:szCs w:val="24"/>
          <w:lang w:eastAsia="zh-CN"/>
        </w:rPr>
        <w:t xml:space="preserve">1.毕业生的性别分布 </w:t>
      </w:r>
    </w:p>
    <w:p w:rsidR="00C233DE" w:rsidRDefault="00C233DE" w:rsidP="00847378">
      <w:pPr>
        <w:spacing w:after="0" w:line="360" w:lineRule="auto"/>
        <w:ind w:right="142"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C233DE">
        <w:rPr>
          <w:rFonts w:asciiTheme="minorEastAsia" w:hAnsiTheme="minorEastAsia"/>
          <w:sz w:val="24"/>
          <w:szCs w:val="24"/>
          <w:lang w:eastAsia="zh-CN"/>
        </w:rPr>
        <w:t>我</w:t>
      </w:r>
      <w:r w:rsidR="00A07A01">
        <w:rPr>
          <w:rFonts w:asciiTheme="minorEastAsia" w:hAnsiTheme="minorEastAsia"/>
          <w:sz w:val="24"/>
          <w:szCs w:val="24"/>
          <w:lang w:eastAsia="zh-CN"/>
        </w:rPr>
        <w:t>院</w:t>
      </w:r>
      <w:r w:rsidRPr="00C233DE">
        <w:rPr>
          <w:rFonts w:asciiTheme="minorEastAsia" w:hAnsiTheme="minorEastAsia"/>
          <w:sz w:val="24"/>
          <w:szCs w:val="24"/>
          <w:lang w:eastAsia="zh-CN"/>
        </w:rPr>
        <w:t xml:space="preserve"> 2014 届毕业生中，男生</w:t>
      </w:r>
      <w:r w:rsidR="002741AD">
        <w:rPr>
          <w:rFonts w:asciiTheme="minorEastAsia" w:hAnsiTheme="minorEastAsia" w:hint="eastAsia"/>
          <w:sz w:val="24"/>
          <w:szCs w:val="24"/>
          <w:lang w:eastAsia="zh-CN"/>
        </w:rPr>
        <w:t>902</w:t>
      </w:r>
      <w:r w:rsidRPr="00C233DE">
        <w:rPr>
          <w:rFonts w:asciiTheme="minorEastAsia" w:hAnsiTheme="minorEastAsia"/>
          <w:sz w:val="24"/>
          <w:szCs w:val="24"/>
          <w:lang w:eastAsia="zh-CN"/>
        </w:rPr>
        <w:t xml:space="preserve"> 人，占毕业生总人数的</w:t>
      </w:r>
      <w:r w:rsidR="002741AD" w:rsidRPr="002741AD">
        <w:rPr>
          <w:rFonts w:asciiTheme="minorEastAsia" w:hAnsiTheme="minorEastAsia"/>
          <w:sz w:val="24"/>
          <w:szCs w:val="24"/>
          <w:lang w:eastAsia="zh-CN"/>
        </w:rPr>
        <w:t>48.39%</w:t>
      </w:r>
      <w:r w:rsidRPr="00C233DE">
        <w:rPr>
          <w:rFonts w:asciiTheme="minorEastAsia" w:hAnsiTheme="minorEastAsia"/>
          <w:sz w:val="24"/>
          <w:szCs w:val="24"/>
          <w:lang w:eastAsia="zh-CN"/>
        </w:rPr>
        <w:t>；女生</w:t>
      </w:r>
      <w:r w:rsidR="002741AD">
        <w:rPr>
          <w:rFonts w:asciiTheme="minorEastAsia" w:hAnsiTheme="minorEastAsia" w:hint="eastAsia"/>
          <w:sz w:val="24"/>
          <w:szCs w:val="24"/>
          <w:lang w:eastAsia="zh-CN"/>
        </w:rPr>
        <w:t>962</w:t>
      </w:r>
      <w:r w:rsidRPr="00C233DE">
        <w:rPr>
          <w:rFonts w:asciiTheme="minorEastAsia" w:hAnsiTheme="minorEastAsia"/>
          <w:sz w:val="24"/>
          <w:szCs w:val="24"/>
          <w:lang w:eastAsia="zh-CN"/>
        </w:rPr>
        <w:t xml:space="preserve">人，占毕业生总人数的 </w:t>
      </w:r>
      <w:r w:rsidR="002741AD" w:rsidRPr="002741AD">
        <w:rPr>
          <w:rFonts w:asciiTheme="minorEastAsia" w:hAnsiTheme="minorEastAsia"/>
          <w:sz w:val="24"/>
          <w:szCs w:val="24"/>
          <w:lang w:eastAsia="zh-CN"/>
        </w:rPr>
        <w:t>51.61</w:t>
      </w:r>
      <w:r w:rsidRPr="00C233DE">
        <w:rPr>
          <w:rFonts w:asciiTheme="minorEastAsia" w:hAnsiTheme="minorEastAsia"/>
          <w:sz w:val="24"/>
          <w:szCs w:val="24"/>
          <w:lang w:eastAsia="zh-CN"/>
        </w:rPr>
        <w:t>%，总体男女性别比为1:1.</w:t>
      </w:r>
      <w:r w:rsidR="002741AD">
        <w:rPr>
          <w:rFonts w:asciiTheme="minorEastAsia" w:hAnsiTheme="minorEastAsia" w:hint="eastAsia"/>
          <w:sz w:val="24"/>
          <w:szCs w:val="24"/>
          <w:lang w:eastAsia="zh-CN"/>
        </w:rPr>
        <w:t>07</w:t>
      </w:r>
      <w:r w:rsidRPr="00C233DE">
        <w:rPr>
          <w:rFonts w:asciiTheme="minorEastAsia" w:hAnsiTheme="minorEastAsia"/>
          <w:sz w:val="24"/>
          <w:szCs w:val="24"/>
          <w:lang w:eastAsia="zh-CN"/>
        </w:rPr>
        <w:t>。</w:t>
      </w:r>
    </w:p>
    <w:p w:rsidR="00D468D9" w:rsidRDefault="00D468D9" w:rsidP="00847378">
      <w:pPr>
        <w:spacing w:after="0" w:line="360" w:lineRule="auto"/>
        <w:ind w:right="142"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/>
          <w:noProof/>
          <w:sz w:val="24"/>
          <w:szCs w:val="24"/>
          <w:lang w:eastAsia="zh-CN"/>
        </w:rPr>
        <w:drawing>
          <wp:inline distT="0" distB="0" distL="0" distR="0" wp14:anchorId="2D35A707" wp14:editId="7E557AAD">
            <wp:extent cx="5283200" cy="3081655"/>
            <wp:effectExtent l="0" t="0" r="12700" b="23495"/>
            <wp:docPr id="30" name="图表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374A" w:rsidRPr="002C374A" w:rsidRDefault="002C374A" w:rsidP="00847378">
      <w:pPr>
        <w:spacing w:after="0" w:line="360" w:lineRule="auto"/>
        <w:ind w:right="142" w:firstLineChars="200" w:firstLine="480"/>
        <w:jc w:val="center"/>
        <w:rPr>
          <w:rFonts w:asciiTheme="minorEastAsia" w:hAnsiTheme="minorEastAsia"/>
          <w:sz w:val="24"/>
          <w:szCs w:val="24"/>
          <w:lang w:eastAsia="zh-CN"/>
        </w:rPr>
      </w:pPr>
      <w:r w:rsidRPr="002C374A">
        <w:rPr>
          <w:rFonts w:asciiTheme="minorEastAsia" w:hAnsiTheme="minorEastAsia" w:hint="eastAsia"/>
          <w:sz w:val="24"/>
          <w:szCs w:val="24"/>
          <w:lang w:eastAsia="zh-CN"/>
        </w:rPr>
        <w:t>图1-2  2014 届毕业生的性别分布</w:t>
      </w:r>
    </w:p>
    <w:p w:rsidR="00D468D9" w:rsidRPr="002C7F43" w:rsidRDefault="002C374A" w:rsidP="00847378">
      <w:pPr>
        <w:spacing w:after="0" w:line="360" w:lineRule="auto"/>
        <w:ind w:right="142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2</w:t>
      </w:r>
      <w:r w:rsidR="00D468D9" w:rsidRPr="002C7F4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.毕业生的生源地分布</w:t>
      </w:r>
    </w:p>
    <w:p w:rsidR="001215EA" w:rsidRDefault="00D468D9" w:rsidP="00847378">
      <w:pPr>
        <w:spacing w:after="0" w:line="360" w:lineRule="auto"/>
        <w:ind w:right="142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2C7F4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我</w:t>
      </w:r>
      <w:r w:rsidR="00A07A01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院</w:t>
      </w:r>
      <w:r w:rsidRPr="002C7F4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2014届毕业生来源于</w:t>
      </w:r>
      <w:r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3</w:t>
      </w:r>
      <w:r w:rsidRPr="002C7F4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个省，其中本地（</w:t>
      </w:r>
      <w:r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安徽省</w:t>
      </w:r>
      <w:r w:rsidRPr="002C7F4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）生源人数为</w:t>
      </w:r>
      <w:r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1824</w:t>
      </w:r>
      <w:r w:rsidRPr="002C7F4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人，所占</w:t>
      </w:r>
      <w:r w:rsidR="001C04AF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比例</w:t>
      </w:r>
      <w:r w:rsidRPr="002C7F4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达到9</w:t>
      </w:r>
      <w:r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7.85</w:t>
      </w:r>
      <w:r w:rsidRPr="002C7F4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%；外地生源主要是来自于</w:t>
      </w:r>
      <w:r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江苏</w:t>
      </w:r>
      <w:r w:rsidRPr="002C7F4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省（1.</w:t>
      </w:r>
      <w:r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07</w:t>
      </w:r>
      <w:r w:rsidRPr="002C7F4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%）和</w:t>
      </w:r>
      <w:r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山东</w:t>
      </w:r>
      <w:r w:rsidRPr="002C7F4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（1.0</w:t>
      </w:r>
      <w:r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2</w:t>
      </w:r>
      <w:r w:rsidRPr="002C7F4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%）。各省生源的百分比详见下图。</w:t>
      </w:r>
    </w:p>
    <w:p w:rsidR="005B2D6D" w:rsidRPr="002C7F43" w:rsidRDefault="005B2D6D" w:rsidP="00847378">
      <w:pPr>
        <w:spacing w:after="0" w:line="360" w:lineRule="auto"/>
        <w:ind w:right="142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>
        <w:rPr>
          <w:rFonts w:asciiTheme="majorEastAsia" w:eastAsiaTheme="majorEastAsia" w:hAnsiTheme="majorEastAsia" w:cs="Microsoft JhengHei"/>
          <w:noProof/>
          <w:sz w:val="24"/>
          <w:szCs w:val="24"/>
          <w:lang w:eastAsia="zh-CN"/>
        </w:rPr>
        <w:lastRenderedPageBreak/>
        <w:drawing>
          <wp:inline distT="0" distB="0" distL="0" distR="0" wp14:anchorId="30503576" wp14:editId="101FB807">
            <wp:extent cx="5106837" cy="2587924"/>
            <wp:effectExtent l="0" t="0" r="17780" b="22225"/>
            <wp:docPr id="32" name="图表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7F43" w:rsidRPr="0054419C" w:rsidRDefault="001C04AF" w:rsidP="00847378">
      <w:pPr>
        <w:spacing w:after="0" w:line="360" w:lineRule="auto"/>
        <w:ind w:right="142" w:firstLineChars="200" w:firstLine="480"/>
        <w:jc w:val="center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1C04AF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 xml:space="preserve">图1-3 </w:t>
      </w:r>
      <w:r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 xml:space="preserve"> </w:t>
      </w:r>
      <w:r w:rsidRPr="001C04AF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2014届毕业生的生源地分布</w:t>
      </w:r>
    </w:p>
    <w:p w:rsidR="00933653" w:rsidRPr="00847378" w:rsidRDefault="00933653" w:rsidP="00847378">
      <w:pPr>
        <w:spacing w:after="0" w:line="360" w:lineRule="auto"/>
        <w:ind w:right="142"/>
        <w:rPr>
          <w:rFonts w:asciiTheme="majorEastAsia" w:eastAsiaTheme="majorEastAsia" w:hAnsiTheme="majorEastAsia" w:cs="Microsoft JhengHei"/>
          <w:b/>
          <w:sz w:val="28"/>
          <w:szCs w:val="28"/>
          <w:lang w:eastAsia="zh-CN"/>
        </w:rPr>
      </w:pPr>
      <w:r w:rsidRPr="00847378">
        <w:rPr>
          <w:rFonts w:asciiTheme="majorEastAsia" w:eastAsiaTheme="majorEastAsia" w:hAnsiTheme="majorEastAsia" w:cs="Microsoft JhengHei"/>
          <w:b/>
          <w:sz w:val="28"/>
          <w:szCs w:val="28"/>
          <w:lang w:eastAsia="zh-CN"/>
        </w:rPr>
        <w:t>三、就业率</w:t>
      </w:r>
    </w:p>
    <w:p w:rsidR="001C04AF" w:rsidRDefault="00933653" w:rsidP="00847378">
      <w:pPr>
        <w:spacing w:after="0" w:line="360" w:lineRule="auto"/>
        <w:ind w:right="142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93365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就业率是反映</w:t>
      </w:r>
      <w:r w:rsidR="001C04AF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在校</w:t>
      </w:r>
      <w:r w:rsidRPr="0093365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大学生就业情况和社会对</w:t>
      </w:r>
      <w:r w:rsidR="009870A5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学院</w:t>
      </w:r>
      <w:r w:rsidRPr="0093365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毕业生需求程度的重要指标和参考依据，根据教育部发布的《教育部办公厅关于进一步加强和完善高</w:t>
      </w:r>
      <w:r w:rsidR="00A07A01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院</w:t>
      </w:r>
      <w:r w:rsidRPr="0093365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毕业 生就业状况统计报告工作的通知》，高</w:t>
      </w:r>
      <w:r w:rsidR="00A07A01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院</w:t>
      </w:r>
      <w:r w:rsidRPr="0093365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毕业生的就业率的计算公式为：毕业生就业率=（已就业毕业生人数÷毕业生总人数）×100%。</w:t>
      </w:r>
    </w:p>
    <w:p w:rsidR="00185D92" w:rsidRDefault="001215EA" w:rsidP="00847378">
      <w:pPr>
        <w:spacing w:after="0" w:line="360" w:lineRule="auto"/>
        <w:ind w:right="142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1215EA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根据《关于调整全国普通高等</w:t>
      </w:r>
      <w:r w:rsidR="009870A5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学院</w:t>
      </w:r>
      <w:r w:rsidRPr="001215EA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毕业生就业数据库结构及代码标准的通知》 [教学司函〔2014〕1 号]，毕业生总人数=（签就业协议形式就业+签劳动合同形式就业+其他录用形式就业+科研助理+应征义务兵+国家基层项目+地方基层项目+自主创业+自由职业+升学+出国出境）+（待就业+不就业拟升学+其他暂不就业）</w:t>
      </w:r>
      <w:r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。</w:t>
      </w:r>
      <w:r w:rsidRPr="001215EA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已就业毕业生人数=签就业协议形式就业+签劳动合同形式就业+其他录用形式就业</w:t>
      </w:r>
      <w:r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+</w:t>
      </w:r>
      <w:r w:rsidRPr="001215EA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科研助理+应征义务兵+国家基层项目+地方基层项目+自主创业+自由职业+升学</w:t>
      </w:r>
      <w:r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+</w:t>
      </w:r>
      <w:r w:rsidRPr="001215EA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出国出境</w:t>
      </w:r>
      <w:r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。</w:t>
      </w:r>
    </w:p>
    <w:p w:rsidR="001215EA" w:rsidRPr="001C0075" w:rsidRDefault="001215EA" w:rsidP="00847378">
      <w:pPr>
        <w:spacing w:after="0" w:line="360" w:lineRule="auto"/>
        <w:ind w:right="142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1C0075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（一）毕业生总体及各专业就业率分析</w:t>
      </w:r>
    </w:p>
    <w:p w:rsidR="001C04AF" w:rsidRDefault="001215EA" w:rsidP="00847378">
      <w:pPr>
        <w:spacing w:after="0" w:line="360" w:lineRule="auto"/>
        <w:ind w:left="140" w:right="142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1C0075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1.毕业生总体就业率分析</w:t>
      </w:r>
    </w:p>
    <w:p w:rsidR="001215EA" w:rsidRDefault="001215EA" w:rsidP="00847378">
      <w:pPr>
        <w:spacing w:after="0" w:line="360" w:lineRule="auto"/>
        <w:ind w:left="140" w:right="142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1215EA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截止到 2014年8月31日，我</w:t>
      </w:r>
      <w:r w:rsidR="00A07A01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院</w:t>
      </w:r>
      <w:r w:rsidRPr="001215EA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2014</w:t>
      </w:r>
      <w:r w:rsidR="00A21DC2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届毕业生的总体就业率91.47</w:t>
      </w:r>
      <w:r w:rsidRPr="001215EA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%。</w:t>
      </w:r>
    </w:p>
    <w:p w:rsidR="001C04AF" w:rsidRDefault="0006301E" w:rsidP="00847378">
      <w:pPr>
        <w:spacing w:after="0" w:line="360" w:lineRule="auto"/>
        <w:ind w:left="140" w:right="142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06301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2.各专业就业率分析</w:t>
      </w:r>
    </w:p>
    <w:p w:rsidR="001C04AF" w:rsidRDefault="0006301E" w:rsidP="00847378">
      <w:pPr>
        <w:spacing w:after="0" w:line="360" w:lineRule="auto"/>
        <w:ind w:left="140" w:right="142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06301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2014 届毕业生各专业的就业率高低不等，其中</w:t>
      </w:r>
      <w:r w:rsidR="001A3A8F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财务管理、新闻学2</w:t>
      </w:r>
      <w:r w:rsidRPr="0006301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个专业的就业率均达到</w:t>
      </w:r>
      <w:r w:rsidR="001A3A8F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9</w:t>
      </w:r>
      <w:r w:rsidR="00B74E05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5</w:t>
      </w:r>
      <w:r w:rsidRPr="0006301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%</w:t>
      </w:r>
      <w:r w:rsidR="00B74E05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以上</w:t>
      </w:r>
      <w:r w:rsidRPr="0006301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，</w:t>
      </w:r>
      <w:r w:rsidR="001C04AF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具体数据见下表</w:t>
      </w:r>
    </w:p>
    <w:p w:rsidR="00E83548" w:rsidRPr="001C04AF" w:rsidRDefault="00E83548" w:rsidP="00847378">
      <w:pPr>
        <w:spacing w:after="0" w:line="360" w:lineRule="auto"/>
        <w:ind w:left="140" w:right="142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E83548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表1-</w:t>
      </w:r>
      <w:r w:rsidR="00847378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2</w:t>
      </w:r>
      <w:r w:rsidR="001C04AF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：</w:t>
      </w:r>
      <w:r w:rsidRPr="00E83548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2014届各专业毕业生的就业率分布</w:t>
      </w:r>
    </w:p>
    <w:tbl>
      <w:tblPr>
        <w:tblW w:w="8320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1540"/>
        <w:gridCol w:w="1500"/>
        <w:gridCol w:w="2000"/>
      </w:tblGrid>
      <w:tr w:rsidR="00B74E05" w:rsidRPr="00B74E05" w:rsidTr="00847378">
        <w:trPr>
          <w:trHeight w:val="255"/>
          <w:jc w:val="center"/>
        </w:trPr>
        <w:tc>
          <w:tcPr>
            <w:tcW w:w="3280" w:type="dxa"/>
            <w:shd w:val="clear" w:color="DCE6F1" w:fill="DCE6F1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b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b/>
                <w:color w:val="366092"/>
                <w:sz w:val="24"/>
                <w:szCs w:val="24"/>
                <w:lang w:eastAsia="zh-CN"/>
              </w:rPr>
              <w:lastRenderedPageBreak/>
              <w:t>专业</w:t>
            </w:r>
          </w:p>
        </w:tc>
        <w:tc>
          <w:tcPr>
            <w:tcW w:w="1540" w:type="dxa"/>
            <w:shd w:val="clear" w:color="DCE6F1" w:fill="DCE6F1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b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b/>
                <w:color w:val="366092"/>
                <w:sz w:val="24"/>
                <w:szCs w:val="24"/>
                <w:lang w:eastAsia="zh-CN"/>
              </w:rPr>
              <w:t>毕业生人数</w:t>
            </w:r>
          </w:p>
        </w:tc>
        <w:tc>
          <w:tcPr>
            <w:tcW w:w="1500" w:type="dxa"/>
            <w:shd w:val="clear" w:color="DCE6F1" w:fill="DCE6F1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b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b/>
                <w:color w:val="366092"/>
                <w:sz w:val="24"/>
                <w:szCs w:val="24"/>
                <w:lang w:eastAsia="zh-CN"/>
              </w:rPr>
              <w:t>就业人数</w:t>
            </w:r>
          </w:p>
        </w:tc>
        <w:tc>
          <w:tcPr>
            <w:tcW w:w="2000" w:type="dxa"/>
            <w:shd w:val="clear" w:color="DCE6F1" w:fill="DCE6F1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b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b/>
                <w:color w:val="366092"/>
                <w:sz w:val="24"/>
                <w:szCs w:val="24"/>
                <w:lang w:eastAsia="zh-CN"/>
              </w:rPr>
              <w:t>初次就业率</w:t>
            </w:r>
          </w:p>
        </w:tc>
      </w:tr>
      <w:tr w:rsidR="00B74E05" w:rsidRPr="00B74E05" w:rsidTr="00847378">
        <w:trPr>
          <w:trHeight w:val="255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新闻学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95.77%</w:t>
            </w:r>
          </w:p>
        </w:tc>
      </w:tr>
      <w:tr w:rsidR="00B74E05" w:rsidRPr="00B74E05" w:rsidTr="00847378">
        <w:trPr>
          <w:trHeight w:val="255"/>
          <w:jc w:val="center"/>
        </w:trPr>
        <w:tc>
          <w:tcPr>
            <w:tcW w:w="3280" w:type="dxa"/>
            <w:shd w:val="clear" w:color="DCE6F1" w:fill="DCE6F1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1540" w:type="dxa"/>
            <w:shd w:val="clear" w:color="DCE6F1" w:fill="DCE6F1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1500" w:type="dxa"/>
            <w:shd w:val="clear" w:color="DCE6F1" w:fill="DCE6F1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2000" w:type="dxa"/>
            <w:shd w:val="clear" w:color="DCE6F1" w:fill="DCE6F1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95.54%</w:t>
            </w:r>
          </w:p>
        </w:tc>
      </w:tr>
      <w:tr w:rsidR="00B74E05" w:rsidRPr="00B74E05" w:rsidTr="00847378">
        <w:trPr>
          <w:trHeight w:val="255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生物科学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94.81%</w:t>
            </w:r>
          </w:p>
        </w:tc>
      </w:tr>
      <w:tr w:rsidR="00B74E05" w:rsidRPr="00B74E05" w:rsidTr="00847378">
        <w:trPr>
          <w:trHeight w:val="255"/>
          <w:jc w:val="center"/>
        </w:trPr>
        <w:tc>
          <w:tcPr>
            <w:tcW w:w="3280" w:type="dxa"/>
            <w:shd w:val="clear" w:color="DCE6F1" w:fill="DCE6F1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市场营销</w:t>
            </w:r>
          </w:p>
        </w:tc>
        <w:tc>
          <w:tcPr>
            <w:tcW w:w="1540" w:type="dxa"/>
            <w:shd w:val="clear" w:color="DCE6F1" w:fill="DCE6F1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500" w:type="dxa"/>
            <w:shd w:val="clear" w:color="DCE6F1" w:fill="DCE6F1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2000" w:type="dxa"/>
            <w:shd w:val="clear" w:color="DCE6F1" w:fill="DCE6F1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94.64%</w:t>
            </w:r>
          </w:p>
        </w:tc>
      </w:tr>
      <w:tr w:rsidR="00B74E05" w:rsidRPr="00B74E05" w:rsidTr="00847378">
        <w:trPr>
          <w:trHeight w:val="255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计算机科学与技术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178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168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94.38%</w:t>
            </w:r>
          </w:p>
        </w:tc>
      </w:tr>
      <w:tr w:rsidR="00B74E05" w:rsidRPr="00B74E05" w:rsidTr="00847378">
        <w:trPr>
          <w:trHeight w:val="255"/>
          <w:jc w:val="center"/>
        </w:trPr>
        <w:tc>
          <w:tcPr>
            <w:tcW w:w="3280" w:type="dxa"/>
            <w:shd w:val="clear" w:color="DCE6F1" w:fill="DCE6F1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会计学</w:t>
            </w:r>
          </w:p>
        </w:tc>
        <w:tc>
          <w:tcPr>
            <w:tcW w:w="1540" w:type="dxa"/>
            <w:shd w:val="clear" w:color="DCE6F1" w:fill="DCE6F1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500" w:type="dxa"/>
            <w:shd w:val="clear" w:color="DCE6F1" w:fill="DCE6F1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206</w:t>
            </w:r>
          </w:p>
        </w:tc>
        <w:tc>
          <w:tcPr>
            <w:tcW w:w="2000" w:type="dxa"/>
            <w:shd w:val="clear" w:color="DCE6F1" w:fill="DCE6F1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93.21%</w:t>
            </w:r>
          </w:p>
        </w:tc>
      </w:tr>
      <w:tr w:rsidR="00B74E05" w:rsidRPr="00B74E05" w:rsidTr="00847378">
        <w:trPr>
          <w:trHeight w:val="255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国际经济与贸易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93.02%</w:t>
            </w:r>
          </w:p>
        </w:tc>
      </w:tr>
      <w:tr w:rsidR="00B74E05" w:rsidRPr="00B74E05" w:rsidTr="00847378">
        <w:trPr>
          <w:trHeight w:val="255"/>
          <w:jc w:val="center"/>
        </w:trPr>
        <w:tc>
          <w:tcPr>
            <w:tcW w:w="3280" w:type="dxa"/>
            <w:shd w:val="clear" w:color="DCE6F1" w:fill="DCE6F1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工商管理</w:t>
            </w:r>
          </w:p>
        </w:tc>
        <w:tc>
          <w:tcPr>
            <w:tcW w:w="1540" w:type="dxa"/>
            <w:shd w:val="clear" w:color="DCE6F1" w:fill="DCE6F1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500" w:type="dxa"/>
            <w:shd w:val="clear" w:color="DCE6F1" w:fill="DCE6F1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2000" w:type="dxa"/>
            <w:shd w:val="clear" w:color="DCE6F1" w:fill="DCE6F1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92.21%</w:t>
            </w:r>
          </w:p>
        </w:tc>
      </w:tr>
      <w:tr w:rsidR="00B74E05" w:rsidRPr="00B74E05" w:rsidTr="00847378">
        <w:trPr>
          <w:trHeight w:val="255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电子信息工程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74E05" w:rsidRPr="00B74E05" w:rsidRDefault="00B74E05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91.74%</w:t>
            </w:r>
          </w:p>
        </w:tc>
      </w:tr>
      <w:tr w:rsidR="00947813" w:rsidRPr="00B74E05" w:rsidTr="00847378">
        <w:trPr>
          <w:trHeight w:val="255"/>
          <w:jc w:val="center"/>
        </w:trPr>
        <w:tc>
          <w:tcPr>
            <w:tcW w:w="3280" w:type="dxa"/>
            <w:shd w:val="clear" w:color="DCE6F1" w:fill="DCE6F1"/>
            <w:noWrap/>
            <w:vAlign w:val="bottom"/>
            <w:hideMark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540" w:type="dxa"/>
            <w:shd w:val="clear" w:color="DCE6F1" w:fill="DCE6F1"/>
            <w:noWrap/>
            <w:vAlign w:val="bottom"/>
            <w:hideMark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500" w:type="dxa"/>
            <w:shd w:val="clear" w:color="DCE6F1" w:fill="DCE6F1"/>
            <w:noWrap/>
            <w:vAlign w:val="bottom"/>
            <w:hideMark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2000" w:type="dxa"/>
            <w:shd w:val="clear" w:color="DCE6F1" w:fill="DCE6F1"/>
            <w:noWrap/>
            <w:vAlign w:val="bottom"/>
            <w:hideMark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91.36%</w:t>
            </w:r>
          </w:p>
        </w:tc>
      </w:tr>
      <w:tr w:rsidR="00947813" w:rsidRPr="00B74E05" w:rsidTr="00847378">
        <w:trPr>
          <w:trHeight w:val="255"/>
          <w:jc w:val="center"/>
        </w:trPr>
        <w:tc>
          <w:tcPr>
            <w:tcW w:w="3280" w:type="dxa"/>
            <w:shd w:val="clear" w:color="auto" w:fill="auto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金融学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113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91.15%</w:t>
            </w:r>
          </w:p>
        </w:tc>
      </w:tr>
      <w:tr w:rsidR="00947813" w:rsidRPr="00B74E05" w:rsidTr="00847378">
        <w:trPr>
          <w:trHeight w:val="255"/>
          <w:jc w:val="center"/>
        </w:trPr>
        <w:tc>
          <w:tcPr>
            <w:tcW w:w="3280" w:type="dxa"/>
            <w:shd w:val="clear" w:color="DCE6F1" w:fill="DCE6F1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电子商务</w:t>
            </w:r>
          </w:p>
        </w:tc>
        <w:tc>
          <w:tcPr>
            <w:tcW w:w="1540" w:type="dxa"/>
            <w:shd w:val="clear" w:color="DCE6F1" w:fill="DCE6F1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500" w:type="dxa"/>
            <w:shd w:val="clear" w:color="DCE6F1" w:fill="DCE6F1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000" w:type="dxa"/>
            <w:shd w:val="clear" w:color="DCE6F1" w:fill="DCE6F1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90.91%</w:t>
            </w:r>
          </w:p>
        </w:tc>
      </w:tr>
      <w:tr w:rsidR="00947813" w:rsidRPr="00B74E05" w:rsidTr="00847378">
        <w:trPr>
          <w:trHeight w:val="255"/>
          <w:jc w:val="center"/>
        </w:trPr>
        <w:tc>
          <w:tcPr>
            <w:tcW w:w="3280" w:type="dxa"/>
            <w:shd w:val="clear" w:color="auto" w:fill="auto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通信工程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187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90.91%</w:t>
            </w:r>
          </w:p>
        </w:tc>
      </w:tr>
      <w:tr w:rsidR="00947813" w:rsidRPr="00B74E05" w:rsidTr="00847378">
        <w:trPr>
          <w:trHeight w:val="255"/>
          <w:jc w:val="center"/>
        </w:trPr>
        <w:tc>
          <w:tcPr>
            <w:tcW w:w="3280" w:type="dxa"/>
            <w:shd w:val="clear" w:color="DCE6F1" w:fill="DCE6F1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1540" w:type="dxa"/>
            <w:shd w:val="clear" w:color="DCE6F1" w:fill="DCE6F1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500" w:type="dxa"/>
            <w:shd w:val="clear" w:color="DCE6F1" w:fill="DCE6F1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2000" w:type="dxa"/>
            <w:shd w:val="clear" w:color="DCE6F1" w:fill="DCE6F1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90.00%</w:t>
            </w:r>
          </w:p>
        </w:tc>
      </w:tr>
      <w:tr w:rsidR="00947813" w:rsidRPr="00B74E05" w:rsidTr="00847378">
        <w:trPr>
          <w:trHeight w:val="255"/>
          <w:jc w:val="center"/>
        </w:trPr>
        <w:tc>
          <w:tcPr>
            <w:tcW w:w="3280" w:type="dxa"/>
            <w:shd w:val="clear" w:color="auto" w:fill="auto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物流管理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87.80%</w:t>
            </w:r>
          </w:p>
        </w:tc>
      </w:tr>
      <w:tr w:rsidR="00947813" w:rsidRPr="00B74E05" w:rsidTr="00847378">
        <w:trPr>
          <w:trHeight w:val="255"/>
          <w:jc w:val="center"/>
        </w:trPr>
        <w:tc>
          <w:tcPr>
            <w:tcW w:w="3280" w:type="dxa"/>
            <w:shd w:val="clear" w:color="DCE6F1" w:fill="DCE6F1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动画</w:t>
            </w:r>
          </w:p>
        </w:tc>
        <w:tc>
          <w:tcPr>
            <w:tcW w:w="1540" w:type="dxa"/>
            <w:shd w:val="clear" w:color="DCE6F1" w:fill="DCE6F1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500" w:type="dxa"/>
            <w:shd w:val="clear" w:color="DCE6F1" w:fill="DCE6F1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000" w:type="dxa"/>
            <w:shd w:val="clear" w:color="DCE6F1" w:fill="DCE6F1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87.18%</w:t>
            </w:r>
          </w:p>
        </w:tc>
      </w:tr>
      <w:tr w:rsidR="00947813" w:rsidRPr="00B74E05" w:rsidTr="00847378">
        <w:trPr>
          <w:trHeight w:val="255"/>
          <w:jc w:val="center"/>
        </w:trPr>
        <w:tc>
          <w:tcPr>
            <w:tcW w:w="3280" w:type="dxa"/>
            <w:shd w:val="clear" w:color="auto" w:fill="auto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网络工程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86.75%</w:t>
            </w:r>
          </w:p>
        </w:tc>
      </w:tr>
      <w:tr w:rsidR="00947813" w:rsidRPr="00B74E05" w:rsidTr="00847378">
        <w:trPr>
          <w:trHeight w:val="255"/>
          <w:jc w:val="center"/>
        </w:trPr>
        <w:tc>
          <w:tcPr>
            <w:tcW w:w="3280" w:type="dxa"/>
            <w:shd w:val="clear" w:color="DCE6F1" w:fill="DCE6F1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行政管理</w:t>
            </w:r>
          </w:p>
        </w:tc>
        <w:tc>
          <w:tcPr>
            <w:tcW w:w="1540" w:type="dxa"/>
            <w:shd w:val="clear" w:color="DCE6F1" w:fill="DCE6F1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500" w:type="dxa"/>
            <w:shd w:val="clear" w:color="DCE6F1" w:fill="DCE6F1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2000" w:type="dxa"/>
            <w:shd w:val="clear" w:color="DCE6F1" w:fill="DCE6F1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86.36%</w:t>
            </w:r>
          </w:p>
        </w:tc>
      </w:tr>
      <w:tr w:rsidR="00947813" w:rsidRPr="00B74E05" w:rsidTr="00847378">
        <w:trPr>
          <w:trHeight w:val="255"/>
          <w:jc w:val="center"/>
        </w:trPr>
        <w:tc>
          <w:tcPr>
            <w:tcW w:w="3280" w:type="dxa"/>
            <w:shd w:val="clear" w:color="auto" w:fill="auto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信息管理与信息系统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79.71%</w:t>
            </w:r>
          </w:p>
        </w:tc>
      </w:tr>
      <w:tr w:rsidR="00947813" w:rsidRPr="00B74E05" w:rsidTr="00847378">
        <w:trPr>
          <w:trHeight w:val="255"/>
          <w:jc w:val="center"/>
        </w:trPr>
        <w:tc>
          <w:tcPr>
            <w:tcW w:w="3280" w:type="dxa"/>
            <w:shd w:val="clear" w:color="DCE6F1" w:fill="DCE6F1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540" w:type="dxa"/>
            <w:shd w:val="clear" w:color="DCE6F1" w:fill="DCE6F1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1864</w:t>
            </w:r>
          </w:p>
        </w:tc>
        <w:tc>
          <w:tcPr>
            <w:tcW w:w="1500" w:type="dxa"/>
            <w:shd w:val="clear" w:color="DCE6F1" w:fill="DCE6F1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1705</w:t>
            </w:r>
          </w:p>
        </w:tc>
        <w:tc>
          <w:tcPr>
            <w:tcW w:w="2000" w:type="dxa"/>
            <w:shd w:val="clear" w:color="DCE6F1" w:fill="DCE6F1"/>
            <w:noWrap/>
            <w:vAlign w:val="bottom"/>
          </w:tcPr>
          <w:p w:rsidR="00947813" w:rsidRPr="00B74E05" w:rsidRDefault="00947813" w:rsidP="00847378">
            <w:pPr>
              <w:widowControl/>
              <w:spacing w:after="0" w:line="360" w:lineRule="auto"/>
              <w:jc w:val="center"/>
              <w:rPr>
                <w:rFonts w:asciiTheme="minorEastAsia" w:hAnsiTheme="minorEastAsia" w:cs="Arial"/>
                <w:color w:val="366092"/>
                <w:sz w:val="24"/>
                <w:szCs w:val="24"/>
                <w:lang w:eastAsia="zh-CN"/>
              </w:rPr>
            </w:pPr>
            <w:r w:rsidRPr="00B74E05">
              <w:rPr>
                <w:rFonts w:asciiTheme="minorEastAsia" w:hAnsiTheme="minorEastAsia" w:cs="Arial" w:hint="eastAsia"/>
                <w:color w:val="366092"/>
                <w:sz w:val="24"/>
                <w:szCs w:val="24"/>
                <w:lang w:eastAsia="zh-CN"/>
              </w:rPr>
              <w:t>91.47%</w:t>
            </w:r>
          </w:p>
        </w:tc>
      </w:tr>
    </w:tbl>
    <w:p w:rsidR="001C04AF" w:rsidRDefault="001C04AF" w:rsidP="00847378">
      <w:pPr>
        <w:spacing w:after="0" w:line="360" w:lineRule="auto"/>
        <w:ind w:right="142"/>
        <w:rPr>
          <w:rFonts w:asciiTheme="minorEastAsia" w:hAnsiTheme="minorEastAsia"/>
          <w:sz w:val="24"/>
          <w:szCs w:val="24"/>
          <w:lang w:eastAsia="zh-CN"/>
        </w:rPr>
      </w:pPr>
    </w:p>
    <w:p w:rsidR="001C0075" w:rsidRPr="000D3B10" w:rsidRDefault="001C0075" w:rsidP="00847378">
      <w:pPr>
        <w:spacing w:after="0" w:line="360" w:lineRule="auto"/>
        <w:ind w:right="142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0D3B10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（二）不同特征群体毕业生的就业率比较分析</w:t>
      </w:r>
    </w:p>
    <w:p w:rsidR="00384A61" w:rsidRPr="000D3B10" w:rsidRDefault="001C0075" w:rsidP="00847378">
      <w:pPr>
        <w:spacing w:after="0" w:line="360" w:lineRule="auto"/>
        <w:ind w:left="140" w:right="142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384A61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1.男/女毕业生就业率对比分析</w:t>
      </w:r>
    </w:p>
    <w:p w:rsidR="001C0075" w:rsidRPr="001C04AF" w:rsidRDefault="001C0075" w:rsidP="00847378">
      <w:pPr>
        <w:spacing w:after="0" w:line="360" w:lineRule="auto"/>
        <w:ind w:left="140" w:right="142" w:firstLineChars="200" w:firstLine="480"/>
        <w:rPr>
          <w:rFonts w:asciiTheme="majorEastAsia" w:eastAsiaTheme="majorEastAsia" w:hAnsiTheme="majorEastAsia" w:cs="Microsoft JhengHei"/>
          <w:color w:val="FF0000"/>
          <w:sz w:val="24"/>
          <w:szCs w:val="24"/>
          <w:lang w:eastAsia="zh-CN"/>
        </w:rPr>
      </w:pPr>
      <w:r w:rsidRPr="001C04AF">
        <w:rPr>
          <w:rFonts w:asciiTheme="majorEastAsia" w:eastAsiaTheme="majorEastAsia" w:hAnsiTheme="majorEastAsia" w:cs="Microsoft JhengHei" w:hint="eastAsia"/>
          <w:color w:val="FF0000"/>
          <w:sz w:val="24"/>
          <w:szCs w:val="24"/>
          <w:lang w:eastAsia="zh-CN"/>
        </w:rPr>
        <w:t>我</w:t>
      </w:r>
      <w:r w:rsidR="00A07A01" w:rsidRPr="001C04AF">
        <w:rPr>
          <w:rFonts w:asciiTheme="majorEastAsia" w:eastAsiaTheme="majorEastAsia" w:hAnsiTheme="majorEastAsia" w:cs="Microsoft JhengHei" w:hint="eastAsia"/>
          <w:color w:val="FF0000"/>
          <w:sz w:val="24"/>
          <w:szCs w:val="24"/>
          <w:lang w:eastAsia="zh-CN"/>
        </w:rPr>
        <w:t>院</w:t>
      </w:r>
      <w:r w:rsidRPr="001C04AF">
        <w:rPr>
          <w:rFonts w:asciiTheme="majorEastAsia" w:eastAsiaTheme="majorEastAsia" w:hAnsiTheme="majorEastAsia" w:cs="Microsoft JhengHei" w:hint="eastAsia"/>
          <w:color w:val="FF0000"/>
          <w:sz w:val="24"/>
          <w:szCs w:val="24"/>
          <w:lang w:eastAsia="zh-CN"/>
        </w:rPr>
        <w:t>2014届毕业生中</w:t>
      </w:r>
      <w:r w:rsidR="00C9508E" w:rsidRPr="001C04AF">
        <w:rPr>
          <w:rFonts w:asciiTheme="majorEastAsia" w:eastAsiaTheme="majorEastAsia" w:hAnsiTheme="majorEastAsia" w:cs="Microsoft JhengHei" w:hint="eastAsia"/>
          <w:color w:val="FF0000"/>
          <w:sz w:val="24"/>
          <w:szCs w:val="24"/>
          <w:lang w:eastAsia="zh-CN"/>
        </w:rPr>
        <w:t>，</w:t>
      </w:r>
      <w:r w:rsidRPr="001C04AF">
        <w:rPr>
          <w:rFonts w:asciiTheme="majorEastAsia" w:eastAsiaTheme="majorEastAsia" w:hAnsiTheme="majorEastAsia" w:cs="Microsoft JhengHei" w:hint="eastAsia"/>
          <w:color w:val="FF0000"/>
          <w:sz w:val="24"/>
          <w:szCs w:val="24"/>
          <w:lang w:eastAsia="zh-CN"/>
        </w:rPr>
        <w:t>女生的就业率高于男生，其中，女生的就业率为</w:t>
      </w:r>
      <w:r w:rsidR="001D4706" w:rsidRPr="001C04AF">
        <w:rPr>
          <w:rFonts w:asciiTheme="majorEastAsia" w:eastAsiaTheme="majorEastAsia" w:hAnsiTheme="majorEastAsia" w:cs="Microsoft JhengHei" w:hint="eastAsia"/>
          <w:color w:val="FF0000"/>
          <w:sz w:val="24"/>
          <w:szCs w:val="24"/>
          <w:lang w:eastAsia="zh-CN"/>
        </w:rPr>
        <w:t>93.87</w:t>
      </w:r>
      <w:r w:rsidRPr="001C04AF">
        <w:rPr>
          <w:rFonts w:asciiTheme="majorEastAsia" w:eastAsiaTheme="majorEastAsia" w:hAnsiTheme="majorEastAsia" w:cs="Microsoft JhengHei" w:hint="eastAsia"/>
          <w:color w:val="FF0000"/>
          <w:sz w:val="24"/>
          <w:szCs w:val="24"/>
          <w:lang w:eastAsia="zh-CN"/>
        </w:rPr>
        <w:t>%</w:t>
      </w:r>
      <w:r w:rsidR="00CC475D" w:rsidRPr="001C04AF">
        <w:rPr>
          <w:rFonts w:asciiTheme="majorEastAsia" w:eastAsiaTheme="majorEastAsia" w:hAnsiTheme="majorEastAsia" w:cs="Microsoft JhengHei" w:hint="eastAsia"/>
          <w:color w:val="FF0000"/>
          <w:sz w:val="24"/>
          <w:szCs w:val="24"/>
          <w:lang w:eastAsia="zh-CN"/>
        </w:rPr>
        <w:t>，</w:t>
      </w:r>
      <w:r w:rsidRPr="001C04AF">
        <w:rPr>
          <w:rFonts w:asciiTheme="majorEastAsia" w:eastAsiaTheme="majorEastAsia" w:hAnsiTheme="majorEastAsia" w:cs="Microsoft JhengHei" w:hint="eastAsia"/>
          <w:color w:val="FF0000"/>
          <w:sz w:val="24"/>
          <w:szCs w:val="24"/>
          <w:lang w:eastAsia="zh-CN"/>
        </w:rPr>
        <w:t>男生的就业率为</w:t>
      </w:r>
      <w:r w:rsidR="001D4706" w:rsidRPr="001C04AF">
        <w:rPr>
          <w:rFonts w:asciiTheme="majorEastAsia" w:eastAsiaTheme="majorEastAsia" w:hAnsiTheme="majorEastAsia" w:cs="Microsoft JhengHei" w:hint="eastAsia"/>
          <w:color w:val="FF0000"/>
          <w:sz w:val="24"/>
          <w:szCs w:val="24"/>
          <w:lang w:eastAsia="zh-CN"/>
        </w:rPr>
        <w:t>88.91</w:t>
      </w:r>
      <w:r w:rsidRPr="001C04AF">
        <w:rPr>
          <w:rFonts w:asciiTheme="majorEastAsia" w:eastAsiaTheme="majorEastAsia" w:hAnsiTheme="majorEastAsia" w:cs="Microsoft JhengHei" w:hint="eastAsia"/>
          <w:color w:val="FF0000"/>
          <w:sz w:val="24"/>
          <w:szCs w:val="24"/>
          <w:lang w:eastAsia="zh-CN"/>
        </w:rPr>
        <w:t>%</w:t>
      </w:r>
      <w:r w:rsidR="00CC475D" w:rsidRPr="001C04AF">
        <w:rPr>
          <w:rFonts w:asciiTheme="majorEastAsia" w:eastAsiaTheme="majorEastAsia" w:hAnsiTheme="majorEastAsia" w:cs="Microsoft JhengHei" w:hint="eastAsia"/>
          <w:color w:val="FF0000"/>
          <w:sz w:val="24"/>
          <w:szCs w:val="24"/>
          <w:lang w:eastAsia="zh-CN"/>
        </w:rPr>
        <w:t>。各学院男女生就业率具体分布如下图所示，</w:t>
      </w:r>
      <w:r w:rsidR="001C04AF" w:rsidRPr="001C04AF">
        <w:rPr>
          <w:rFonts w:asciiTheme="majorEastAsia" w:eastAsiaTheme="majorEastAsia" w:hAnsiTheme="majorEastAsia" w:cs="Microsoft JhengHei" w:hint="eastAsia"/>
          <w:color w:val="FF0000"/>
          <w:sz w:val="24"/>
          <w:szCs w:val="24"/>
          <w:lang w:eastAsia="zh-CN"/>
        </w:rPr>
        <w:t>管理系、经济系、</w:t>
      </w:r>
      <w:r w:rsidR="0046493D" w:rsidRPr="001C04AF">
        <w:rPr>
          <w:rFonts w:asciiTheme="majorEastAsia" w:eastAsiaTheme="majorEastAsia" w:hAnsiTheme="majorEastAsia" w:cs="Microsoft JhengHei" w:hint="eastAsia"/>
          <w:color w:val="FF0000"/>
          <w:sz w:val="24"/>
          <w:szCs w:val="24"/>
          <w:lang w:eastAsia="zh-CN"/>
        </w:rPr>
        <w:t>计算机科学与电子技术系</w:t>
      </w:r>
      <w:r w:rsidR="0046493D">
        <w:rPr>
          <w:rFonts w:asciiTheme="majorEastAsia" w:eastAsiaTheme="majorEastAsia" w:hAnsiTheme="majorEastAsia" w:cs="Microsoft JhengHei" w:hint="eastAsia"/>
          <w:color w:val="FF0000"/>
          <w:sz w:val="24"/>
          <w:szCs w:val="24"/>
          <w:lang w:eastAsia="zh-CN"/>
        </w:rPr>
        <w:t>三</w:t>
      </w:r>
      <w:r w:rsidR="001C04AF" w:rsidRPr="001C04AF">
        <w:rPr>
          <w:rFonts w:asciiTheme="majorEastAsia" w:eastAsiaTheme="majorEastAsia" w:hAnsiTheme="majorEastAsia" w:cs="Microsoft JhengHei" w:hint="eastAsia"/>
          <w:color w:val="FF0000"/>
          <w:sz w:val="24"/>
          <w:szCs w:val="24"/>
          <w:lang w:eastAsia="zh-CN"/>
        </w:rPr>
        <w:t>个系女生就业率高于男生，而</w:t>
      </w:r>
      <w:r w:rsidR="0046493D" w:rsidRPr="001C04AF">
        <w:rPr>
          <w:rFonts w:asciiTheme="majorEastAsia" w:eastAsiaTheme="majorEastAsia" w:hAnsiTheme="majorEastAsia" w:cs="Microsoft JhengHei" w:hint="eastAsia"/>
          <w:color w:val="FF0000"/>
          <w:sz w:val="24"/>
          <w:szCs w:val="24"/>
          <w:lang w:eastAsia="zh-CN"/>
        </w:rPr>
        <w:t>生物化学</w:t>
      </w:r>
      <w:r w:rsidR="001C04AF" w:rsidRPr="001C04AF">
        <w:rPr>
          <w:rFonts w:asciiTheme="majorEastAsia" w:eastAsiaTheme="majorEastAsia" w:hAnsiTheme="majorEastAsia" w:cs="Microsoft JhengHei" w:hint="eastAsia"/>
          <w:color w:val="FF0000"/>
          <w:sz w:val="24"/>
          <w:szCs w:val="24"/>
          <w:lang w:eastAsia="zh-CN"/>
        </w:rPr>
        <w:t>系</w:t>
      </w:r>
      <w:r w:rsidR="0046493D" w:rsidRPr="001C04AF">
        <w:rPr>
          <w:rFonts w:asciiTheme="majorEastAsia" w:eastAsiaTheme="majorEastAsia" w:hAnsiTheme="majorEastAsia" w:cs="Microsoft JhengHei" w:hint="eastAsia"/>
          <w:color w:val="FF0000"/>
          <w:sz w:val="24"/>
          <w:szCs w:val="24"/>
          <w:lang w:eastAsia="zh-CN"/>
        </w:rPr>
        <w:t>、文法系</w:t>
      </w:r>
      <w:r w:rsidR="0046493D">
        <w:rPr>
          <w:rFonts w:asciiTheme="majorEastAsia" w:eastAsiaTheme="majorEastAsia" w:hAnsiTheme="majorEastAsia" w:cs="Microsoft JhengHei" w:hint="eastAsia"/>
          <w:color w:val="FF0000"/>
          <w:sz w:val="24"/>
          <w:szCs w:val="24"/>
          <w:lang w:eastAsia="zh-CN"/>
        </w:rPr>
        <w:t>两个系</w:t>
      </w:r>
      <w:bookmarkStart w:id="0" w:name="_GoBack"/>
      <w:bookmarkEnd w:id="0"/>
      <w:r w:rsidRPr="001C04AF">
        <w:rPr>
          <w:rFonts w:asciiTheme="majorEastAsia" w:eastAsiaTheme="majorEastAsia" w:hAnsiTheme="majorEastAsia" w:cs="Microsoft JhengHei" w:hint="eastAsia"/>
          <w:color w:val="FF0000"/>
          <w:sz w:val="24"/>
          <w:szCs w:val="24"/>
          <w:lang w:eastAsia="zh-CN"/>
        </w:rPr>
        <w:t>女生就业率低于男生。</w:t>
      </w:r>
    </w:p>
    <w:p w:rsidR="0094121F" w:rsidRDefault="00A27478" w:rsidP="00847378">
      <w:pPr>
        <w:spacing w:after="0" w:line="360" w:lineRule="auto"/>
        <w:rPr>
          <w:rFonts w:asciiTheme="minorEastAsia" w:hAnsiTheme="minorEastAsia"/>
          <w:sz w:val="24"/>
          <w:szCs w:val="24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53496EE7" wp14:editId="33B03FFF">
            <wp:extent cx="5357004" cy="3329796"/>
            <wp:effectExtent l="0" t="0" r="15240" b="2349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3548" w:rsidRPr="00E83548" w:rsidRDefault="00E83548" w:rsidP="0046493D">
      <w:pPr>
        <w:spacing w:after="0" w:line="360" w:lineRule="auto"/>
        <w:ind w:right="-20" w:firstLineChars="600" w:firstLine="144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E83548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图1-</w:t>
      </w:r>
      <w:r w:rsidR="001C04AF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 xml:space="preserve">4  </w:t>
      </w:r>
      <w:r w:rsidRPr="00E83548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2014 届不同院系男/女毕业生的就业率对比</w:t>
      </w:r>
    </w:p>
    <w:p w:rsidR="00C767A4" w:rsidRDefault="00C767A4" w:rsidP="00847378">
      <w:pPr>
        <w:spacing w:after="0" w:line="360" w:lineRule="auto"/>
        <w:ind w:left="632" w:right="-20"/>
        <w:rPr>
          <w:rFonts w:ascii="Arial" w:hAnsi="Arial" w:cs="Arial"/>
          <w:spacing w:val="2"/>
          <w:w w:val="119"/>
          <w:sz w:val="25"/>
          <w:szCs w:val="25"/>
          <w:lang w:eastAsia="zh-CN"/>
        </w:rPr>
      </w:pPr>
    </w:p>
    <w:p w:rsidR="00C767A4" w:rsidRPr="00C767A4" w:rsidRDefault="00C767A4" w:rsidP="00847378">
      <w:pPr>
        <w:spacing w:after="0" w:line="360" w:lineRule="auto"/>
        <w:ind w:left="632" w:right="-2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C767A4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2.本/外地生源毕业生的就业率对比分析</w:t>
      </w:r>
    </w:p>
    <w:p w:rsidR="00C767A4" w:rsidRPr="008F5DA3" w:rsidRDefault="00C767A4" w:rsidP="00847378">
      <w:pPr>
        <w:spacing w:after="0" w:line="360" w:lineRule="auto"/>
        <w:ind w:left="140" w:right="81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我</w:t>
      </w:r>
      <w:r w:rsidR="00A07A01"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院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 xml:space="preserve"> 2014 届毕业生中，本地（</w:t>
      </w:r>
      <w:r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安徽）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生源毕业生的就业率为</w:t>
      </w:r>
      <w:r w:rsidR="00541FAC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91.12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%；外地生源毕业生的就业率为</w:t>
      </w:r>
      <w:r w:rsidR="00170AD1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94.74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%。其中，外地生源按照生源地统计就业人数及具体百分比。</w:t>
      </w:r>
      <w:r w:rsidR="00541FAC"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详</w:t>
      </w:r>
      <w:r w:rsidR="00541FAC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见下表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。</w:t>
      </w:r>
    </w:p>
    <w:p w:rsidR="004E0ABA" w:rsidRPr="000D3B10" w:rsidRDefault="004E0ABA" w:rsidP="00847378">
      <w:pPr>
        <w:tabs>
          <w:tab w:val="left" w:pos="3260"/>
        </w:tabs>
        <w:spacing w:after="0" w:line="360" w:lineRule="auto"/>
        <w:ind w:right="-23" w:firstLineChars="400" w:firstLine="96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0D3B10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表 1-</w:t>
      </w:r>
      <w:r w:rsidR="00120D29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 xml:space="preserve">3  </w:t>
      </w:r>
      <w:r w:rsidRPr="000D3B10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2014 届外地生源毕业生的就业率分布</w:t>
      </w:r>
    </w:p>
    <w:tbl>
      <w:tblPr>
        <w:tblW w:w="7540" w:type="dxa"/>
        <w:jc w:val="center"/>
        <w:tblInd w:w="1110" w:type="dxa"/>
        <w:tblLook w:val="04A0" w:firstRow="1" w:lastRow="0" w:firstColumn="1" w:lastColumn="0" w:noHBand="0" w:noVBand="1"/>
      </w:tblPr>
      <w:tblGrid>
        <w:gridCol w:w="2080"/>
        <w:gridCol w:w="1860"/>
        <w:gridCol w:w="1780"/>
        <w:gridCol w:w="1820"/>
      </w:tblGrid>
      <w:tr w:rsidR="00597C37" w:rsidRPr="00597C37" w:rsidTr="00847378">
        <w:trPr>
          <w:trHeight w:val="6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C37" w:rsidRPr="008F5DA3" w:rsidRDefault="00597C37" w:rsidP="00847378">
            <w:pPr>
              <w:widowControl/>
              <w:spacing w:after="0" w:line="360" w:lineRule="auto"/>
              <w:jc w:val="center"/>
              <w:rPr>
                <w:rFonts w:ascii="宋体" w:eastAsia="宋体" w:hAnsi="宋体" w:cs="Arial"/>
                <w:sz w:val="24"/>
                <w:szCs w:val="24"/>
                <w:lang w:eastAsia="zh-CN"/>
              </w:rPr>
            </w:pPr>
            <w:r w:rsidRPr="008F5DA3">
              <w:rPr>
                <w:rFonts w:ascii="宋体" w:eastAsia="宋体" w:hAnsi="宋体" w:cs="Arial" w:hint="eastAsia"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37" w:rsidRPr="008F5DA3" w:rsidRDefault="00597C37" w:rsidP="00847378">
            <w:pPr>
              <w:widowControl/>
              <w:spacing w:after="0"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eastAsia="zh-CN"/>
              </w:rPr>
            </w:pPr>
            <w:r w:rsidRPr="008F5DA3">
              <w:rPr>
                <w:rFonts w:ascii="Microsoft JhengHei" w:eastAsia="Microsoft JhengHei" w:hAnsi="Microsoft JhengHei" w:cs="Arial" w:hint="eastAsia"/>
                <w:sz w:val="24"/>
                <w:szCs w:val="24"/>
                <w:lang w:eastAsia="zh-CN"/>
              </w:rPr>
              <w:t>毕业生人数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37" w:rsidRPr="008F5DA3" w:rsidRDefault="00597C37" w:rsidP="00847378">
            <w:pPr>
              <w:widowControl/>
              <w:spacing w:after="0"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eastAsia="zh-CN"/>
              </w:rPr>
            </w:pPr>
            <w:r w:rsidRPr="008F5DA3">
              <w:rPr>
                <w:rFonts w:ascii="Microsoft JhengHei" w:eastAsia="Microsoft JhengHei" w:hAnsi="Microsoft JhengHei" w:cs="Arial" w:hint="eastAsia"/>
                <w:sz w:val="24"/>
                <w:szCs w:val="24"/>
                <w:lang w:eastAsia="zh-CN"/>
              </w:rPr>
              <w:t>就业人数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37" w:rsidRPr="008F5DA3" w:rsidRDefault="00597C37" w:rsidP="00847378">
            <w:pPr>
              <w:widowControl/>
              <w:spacing w:after="0"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eastAsia="zh-CN"/>
              </w:rPr>
            </w:pPr>
            <w:r w:rsidRPr="008F5DA3">
              <w:rPr>
                <w:rFonts w:ascii="Microsoft JhengHei" w:eastAsia="Microsoft JhengHei" w:hAnsi="Microsoft JhengHei" w:cs="Arial" w:hint="eastAsia"/>
                <w:sz w:val="24"/>
                <w:szCs w:val="24"/>
                <w:lang w:eastAsia="zh-CN"/>
              </w:rPr>
              <w:t>就业率</w:t>
            </w:r>
          </w:p>
        </w:tc>
      </w:tr>
      <w:tr w:rsidR="00597C37" w:rsidRPr="00597C37" w:rsidTr="00847378">
        <w:trPr>
          <w:trHeight w:val="6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C37" w:rsidRPr="008F5DA3" w:rsidRDefault="00597C37" w:rsidP="00847378">
            <w:pPr>
              <w:widowControl/>
              <w:spacing w:after="0" w:line="360" w:lineRule="auto"/>
              <w:jc w:val="center"/>
              <w:rPr>
                <w:rFonts w:ascii="宋体" w:eastAsia="宋体" w:hAnsi="宋体" w:cs="Arial"/>
                <w:sz w:val="24"/>
                <w:szCs w:val="24"/>
                <w:lang w:eastAsia="zh-CN"/>
              </w:rPr>
            </w:pPr>
            <w:r w:rsidRPr="008F5DA3">
              <w:rPr>
                <w:rFonts w:ascii="宋体" w:eastAsia="宋体" w:hAnsi="宋体" w:cs="Arial" w:hint="eastAsia"/>
                <w:sz w:val="24"/>
                <w:szCs w:val="24"/>
                <w:lang w:eastAsia="zh-CN"/>
              </w:rPr>
              <w:t>江苏省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C37" w:rsidRPr="008F5DA3" w:rsidRDefault="00597C37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sz w:val="24"/>
                <w:szCs w:val="24"/>
                <w:lang w:eastAsia="zh-CN"/>
              </w:rPr>
            </w:pPr>
            <w:r w:rsidRPr="008F5DA3">
              <w:rPr>
                <w:rFonts w:ascii="Arial" w:eastAsia="宋体" w:hAnsi="Arial" w:cs="Arial"/>
                <w:sz w:val="24"/>
                <w:szCs w:val="24"/>
                <w:lang w:eastAsia="zh-CN"/>
              </w:rPr>
              <w:t xml:space="preserve">19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C37" w:rsidRPr="008F5DA3" w:rsidRDefault="00597C37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sz w:val="24"/>
                <w:szCs w:val="24"/>
                <w:lang w:eastAsia="zh-CN"/>
              </w:rPr>
            </w:pPr>
            <w:r w:rsidRPr="008F5DA3">
              <w:rPr>
                <w:rFonts w:ascii="Arial" w:eastAsia="宋体" w:hAnsi="Arial" w:cs="Arial"/>
                <w:sz w:val="24"/>
                <w:szCs w:val="24"/>
                <w:lang w:eastAsia="zh-CN"/>
              </w:rPr>
              <w:t xml:space="preserve">18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C37" w:rsidRPr="008F5DA3" w:rsidRDefault="00597C37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sz w:val="24"/>
                <w:szCs w:val="24"/>
                <w:lang w:eastAsia="zh-CN"/>
              </w:rPr>
            </w:pPr>
            <w:r w:rsidRPr="008F5DA3">
              <w:rPr>
                <w:rFonts w:ascii="Arial" w:eastAsia="宋体" w:hAnsi="Arial" w:cs="Arial"/>
                <w:sz w:val="24"/>
                <w:szCs w:val="24"/>
                <w:lang w:eastAsia="zh-CN"/>
              </w:rPr>
              <w:t>94.74%</w:t>
            </w:r>
          </w:p>
        </w:tc>
      </w:tr>
      <w:tr w:rsidR="00597C37" w:rsidRPr="00597C37" w:rsidTr="00847378">
        <w:trPr>
          <w:trHeight w:val="6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C37" w:rsidRPr="008F5DA3" w:rsidRDefault="00597C37" w:rsidP="00847378">
            <w:pPr>
              <w:widowControl/>
              <w:spacing w:after="0" w:line="360" w:lineRule="auto"/>
              <w:jc w:val="center"/>
              <w:rPr>
                <w:rFonts w:ascii="宋体" w:eastAsia="宋体" w:hAnsi="宋体" w:cs="Arial"/>
                <w:sz w:val="24"/>
                <w:szCs w:val="24"/>
                <w:lang w:eastAsia="zh-CN"/>
              </w:rPr>
            </w:pPr>
            <w:r w:rsidRPr="008F5DA3">
              <w:rPr>
                <w:rFonts w:ascii="宋体" w:eastAsia="宋体" w:hAnsi="宋体" w:cs="Arial" w:hint="eastAsia"/>
                <w:sz w:val="24"/>
                <w:szCs w:val="24"/>
                <w:lang w:eastAsia="zh-CN"/>
              </w:rPr>
              <w:t>安徽省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C37" w:rsidRPr="008F5DA3" w:rsidRDefault="00597C37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sz w:val="24"/>
                <w:szCs w:val="24"/>
                <w:lang w:eastAsia="zh-CN"/>
              </w:rPr>
            </w:pPr>
            <w:r w:rsidRPr="008F5DA3">
              <w:rPr>
                <w:rFonts w:ascii="Arial" w:eastAsia="宋体" w:hAnsi="Arial" w:cs="Arial"/>
                <w:sz w:val="24"/>
                <w:szCs w:val="24"/>
                <w:lang w:eastAsia="zh-CN"/>
              </w:rPr>
              <w:t xml:space="preserve">1,824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C37" w:rsidRPr="008F5DA3" w:rsidRDefault="00597C37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sz w:val="24"/>
                <w:szCs w:val="24"/>
                <w:lang w:eastAsia="zh-CN"/>
              </w:rPr>
            </w:pPr>
            <w:r w:rsidRPr="008F5DA3">
              <w:rPr>
                <w:rFonts w:ascii="Arial" w:eastAsia="宋体" w:hAnsi="Arial" w:cs="Arial"/>
                <w:sz w:val="24"/>
                <w:szCs w:val="24"/>
                <w:lang w:eastAsia="zh-CN"/>
              </w:rPr>
              <w:t xml:space="preserve">1,662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C37" w:rsidRPr="008F5DA3" w:rsidRDefault="00597C37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sz w:val="24"/>
                <w:szCs w:val="24"/>
                <w:lang w:eastAsia="zh-CN"/>
              </w:rPr>
            </w:pPr>
            <w:r w:rsidRPr="008F5DA3">
              <w:rPr>
                <w:rFonts w:ascii="Arial" w:eastAsia="宋体" w:hAnsi="Arial" w:cs="Arial"/>
                <w:sz w:val="24"/>
                <w:szCs w:val="24"/>
                <w:lang w:eastAsia="zh-CN"/>
              </w:rPr>
              <w:t>91.12%</w:t>
            </w:r>
          </w:p>
        </w:tc>
      </w:tr>
      <w:tr w:rsidR="00597C37" w:rsidRPr="00597C37" w:rsidTr="00847378">
        <w:trPr>
          <w:trHeight w:val="6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C37" w:rsidRPr="008F5DA3" w:rsidRDefault="00597C37" w:rsidP="00847378">
            <w:pPr>
              <w:widowControl/>
              <w:spacing w:after="0" w:line="360" w:lineRule="auto"/>
              <w:jc w:val="center"/>
              <w:rPr>
                <w:rFonts w:ascii="宋体" w:eastAsia="宋体" w:hAnsi="宋体" w:cs="Arial"/>
                <w:sz w:val="24"/>
                <w:szCs w:val="24"/>
                <w:lang w:eastAsia="zh-CN"/>
              </w:rPr>
            </w:pPr>
            <w:r w:rsidRPr="008F5DA3">
              <w:rPr>
                <w:rFonts w:ascii="宋体" w:eastAsia="宋体" w:hAnsi="宋体" w:cs="Arial" w:hint="eastAsia"/>
                <w:sz w:val="24"/>
                <w:szCs w:val="24"/>
                <w:lang w:eastAsia="zh-CN"/>
              </w:rPr>
              <w:t>山东省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C37" w:rsidRPr="008F5DA3" w:rsidRDefault="00597C37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sz w:val="24"/>
                <w:szCs w:val="24"/>
                <w:lang w:eastAsia="zh-CN"/>
              </w:rPr>
            </w:pPr>
            <w:r w:rsidRPr="008F5DA3">
              <w:rPr>
                <w:rFonts w:ascii="Arial" w:eastAsia="宋体" w:hAnsi="Arial" w:cs="Arial"/>
                <w:sz w:val="24"/>
                <w:szCs w:val="24"/>
                <w:lang w:eastAsia="zh-CN"/>
              </w:rPr>
              <w:t xml:space="preserve">19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C37" w:rsidRPr="008F5DA3" w:rsidRDefault="00597C37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sz w:val="24"/>
                <w:szCs w:val="24"/>
                <w:lang w:eastAsia="zh-CN"/>
              </w:rPr>
            </w:pPr>
            <w:r w:rsidRPr="008F5DA3">
              <w:rPr>
                <w:rFonts w:ascii="Arial" w:eastAsia="宋体" w:hAnsi="Arial" w:cs="Arial"/>
                <w:sz w:val="24"/>
                <w:szCs w:val="24"/>
                <w:lang w:eastAsia="zh-CN"/>
              </w:rPr>
              <w:t xml:space="preserve">18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C37" w:rsidRPr="008F5DA3" w:rsidRDefault="00597C37" w:rsidP="00847378">
            <w:pPr>
              <w:widowControl/>
              <w:spacing w:after="0" w:line="360" w:lineRule="auto"/>
              <w:jc w:val="center"/>
              <w:rPr>
                <w:rFonts w:ascii="Arial" w:eastAsia="宋体" w:hAnsi="Arial" w:cs="Arial"/>
                <w:sz w:val="24"/>
                <w:szCs w:val="24"/>
                <w:lang w:eastAsia="zh-CN"/>
              </w:rPr>
            </w:pPr>
            <w:r w:rsidRPr="008F5DA3">
              <w:rPr>
                <w:rFonts w:ascii="Arial" w:eastAsia="宋体" w:hAnsi="Arial" w:cs="Arial"/>
                <w:sz w:val="24"/>
                <w:szCs w:val="24"/>
                <w:lang w:eastAsia="zh-CN"/>
              </w:rPr>
              <w:t>94.74%</w:t>
            </w:r>
          </w:p>
        </w:tc>
      </w:tr>
    </w:tbl>
    <w:p w:rsidR="00E83548" w:rsidRDefault="00E83548" w:rsidP="00847378">
      <w:pPr>
        <w:widowControl/>
        <w:spacing w:after="0" w:line="360" w:lineRule="auto"/>
        <w:rPr>
          <w:rFonts w:asciiTheme="minorEastAsia" w:hAnsiTheme="minorEastAsia"/>
          <w:sz w:val="24"/>
          <w:szCs w:val="24"/>
          <w:lang w:eastAsia="zh-CN"/>
        </w:rPr>
      </w:pPr>
    </w:p>
    <w:p w:rsidR="00847378" w:rsidRPr="00847378" w:rsidRDefault="004E0F11" w:rsidP="00847378">
      <w:pPr>
        <w:spacing w:after="0" w:line="360" w:lineRule="auto"/>
        <w:ind w:left="140" w:right="-20"/>
        <w:rPr>
          <w:rFonts w:asciiTheme="majorEastAsia" w:eastAsiaTheme="majorEastAsia" w:hAnsiTheme="majorEastAsia" w:cs="Microsoft JhengHei"/>
          <w:b/>
          <w:sz w:val="28"/>
          <w:szCs w:val="28"/>
          <w:lang w:eastAsia="zh-CN"/>
        </w:rPr>
      </w:pPr>
      <w:r w:rsidRPr="00847378">
        <w:rPr>
          <w:rFonts w:asciiTheme="majorEastAsia" w:eastAsiaTheme="majorEastAsia" w:hAnsiTheme="majorEastAsia" w:cs="Microsoft JhengHei"/>
          <w:b/>
          <w:sz w:val="28"/>
          <w:szCs w:val="28"/>
          <w:lang w:eastAsia="zh-CN"/>
        </w:rPr>
        <w:t>四、毕业生毕业流向</w:t>
      </w:r>
    </w:p>
    <w:p w:rsidR="004E0F11" w:rsidRPr="00847378" w:rsidRDefault="004E0F11" w:rsidP="00847378">
      <w:pPr>
        <w:spacing w:after="0" w:line="360" w:lineRule="auto"/>
        <w:ind w:left="140" w:right="-20"/>
        <w:rPr>
          <w:rFonts w:asciiTheme="majorEastAsia" w:eastAsiaTheme="majorEastAsia" w:hAnsiTheme="majorEastAsia" w:cs="Microsoft JhengHei"/>
          <w:sz w:val="28"/>
          <w:szCs w:val="28"/>
          <w:lang w:eastAsia="zh-CN"/>
        </w:rPr>
      </w:pPr>
      <w:r w:rsidRPr="004E0F11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（一）毕业生总体的毕业流向分析</w:t>
      </w:r>
    </w:p>
    <w:p w:rsidR="00847378" w:rsidRDefault="004E0F11" w:rsidP="00847378">
      <w:pPr>
        <w:spacing w:after="0" w:line="360" w:lineRule="auto"/>
        <w:ind w:left="140" w:right="62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截止到</w:t>
      </w:r>
      <w:r w:rsidR="00847378"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2014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年8月31日，根据全</w:t>
      </w:r>
      <w:r w:rsidR="00A07A01"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院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毕业生</w:t>
      </w:r>
      <w:r w:rsidR="00170AD1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就业数据库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数据，毕业</w:t>
      </w:r>
      <w:r w:rsidRPr="004E0F11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生毕业去向包括签就业协议形式就业、签劳动合同形式就业、其他录用形式就业、待就业、不就业拟升学、其他暂不就业、自主创业、自由职业、升学和出国出境。</w:t>
      </w:r>
    </w:p>
    <w:p w:rsidR="004E0F11" w:rsidRPr="004E0F11" w:rsidRDefault="004E0F11" w:rsidP="00847378">
      <w:pPr>
        <w:spacing w:after="0" w:line="360" w:lineRule="auto"/>
        <w:ind w:left="140" w:right="62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4E0F11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lastRenderedPageBreak/>
        <w:t>1.毕业生总体的毕业流向</w:t>
      </w:r>
    </w:p>
    <w:p w:rsidR="004E0F11" w:rsidRDefault="004E0F11" w:rsidP="00847378">
      <w:pPr>
        <w:spacing w:after="0" w:line="360" w:lineRule="auto"/>
        <w:ind w:left="140" w:right="6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4E0F11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将毕业生总体毕业流向划分为国内升学、出国出境、单位就业（签就业协议形式就业、签劳动合同形式就业、其他形式就业）、灵活就业（自由职业、自主创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业）、未就业。截止到2014年8月</w:t>
      </w:r>
      <w:r w:rsidR="00847378"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31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日，全</w:t>
      </w:r>
      <w:r w:rsidR="00A07A01"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院</w:t>
      </w:r>
      <w:r w:rsidR="0060095F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1864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名毕业生中，出国出境</w:t>
      </w:r>
      <w:r w:rsidR="00F264AE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8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人（</w:t>
      </w:r>
      <w:r w:rsidR="00F264AE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0.43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%），国内升学</w:t>
      </w:r>
      <w:r w:rsidR="00211349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14</w:t>
      </w:r>
      <w:r w:rsidR="00F264AE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4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人（</w:t>
      </w:r>
      <w:r w:rsidR="00211349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7.</w:t>
      </w:r>
      <w:r w:rsidR="00F264AE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73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%）；灵活就业</w:t>
      </w:r>
      <w:r w:rsidR="00F264AE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48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人（</w:t>
      </w:r>
      <w:r w:rsidR="00F264AE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2.58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%）；单位就业</w:t>
      </w:r>
      <w:r w:rsidR="00211349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1</w:t>
      </w:r>
      <w:r w:rsidR="00F264AE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475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人（</w:t>
      </w:r>
      <w:r w:rsidR="00F264AE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79.13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%）；</w:t>
      </w:r>
      <w:r w:rsidR="00211349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基层项目就业</w:t>
      </w:r>
      <w:r w:rsidR="00F264AE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30</w:t>
      </w:r>
      <w:r w:rsidR="00211349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人（</w:t>
      </w:r>
      <w:r w:rsidR="00F264AE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1.61</w:t>
      </w:r>
      <w:r w:rsidR="00211349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%）；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未</w:t>
      </w:r>
      <w:r w:rsidRPr="004E0F11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就业</w:t>
      </w:r>
      <w:r w:rsidR="00211349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159</w:t>
      </w:r>
      <w:r w:rsidRPr="004E0F11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人（</w:t>
      </w:r>
      <w:r w:rsidR="004C136C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8.35</w:t>
      </w:r>
      <w:r w:rsidRPr="004E0F11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%）。</w:t>
      </w:r>
    </w:p>
    <w:p w:rsidR="0060095F" w:rsidRDefault="0060095F" w:rsidP="00847378">
      <w:pPr>
        <w:spacing w:after="0" w:line="360" w:lineRule="auto"/>
        <w:ind w:left="140" w:right="6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</w:p>
    <w:p w:rsidR="0060095F" w:rsidRPr="004E0F11" w:rsidRDefault="00F264AE" w:rsidP="00847378">
      <w:pPr>
        <w:spacing w:after="0" w:line="360" w:lineRule="auto"/>
        <w:ind w:left="140" w:right="60" w:firstLine="480"/>
        <w:jc w:val="center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>
        <w:rPr>
          <w:noProof/>
          <w:lang w:eastAsia="zh-CN"/>
        </w:rPr>
        <w:drawing>
          <wp:inline distT="0" distB="0" distL="0" distR="0" wp14:anchorId="79E3697A" wp14:editId="0889F79B">
            <wp:extent cx="4572000" cy="2363638"/>
            <wp:effectExtent l="0" t="0" r="19050" b="1778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0D29" w:rsidRPr="008F5DA3" w:rsidRDefault="00120D29" w:rsidP="00847378">
      <w:pPr>
        <w:tabs>
          <w:tab w:val="left" w:pos="3580"/>
        </w:tabs>
        <w:spacing w:after="0" w:line="360" w:lineRule="auto"/>
        <w:ind w:left="2790" w:right="-23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图 1-</w:t>
      </w:r>
      <w:r w:rsidR="009B33C2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5</w:t>
      </w:r>
      <w:r w:rsidR="00427FA6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 xml:space="preserve"> 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2014 届毕业生的毕业流向分布</w:t>
      </w:r>
    </w:p>
    <w:p w:rsidR="000D3B10" w:rsidRDefault="000D3B10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</w:p>
    <w:p w:rsidR="00E65C4E" w:rsidRPr="00E65C4E" w:rsidRDefault="00E65C4E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2.毕业生派遣就业情况</w:t>
      </w:r>
    </w:p>
    <w:p w:rsidR="00E65C4E" w:rsidRPr="00E65C4E" w:rsidRDefault="00E65C4E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2014届毕业生中以签就业协议形式就业的有1320人，占毕业生总数的 70.82% 。</w:t>
      </w:r>
    </w:p>
    <w:p w:rsidR="00E65C4E" w:rsidRPr="00E65C4E" w:rsidRDefault="00E65C4E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3.毕业生合同就业情况</w:t>
      </w:r>
    </w:p>
    <w:p w:rsidR="00E65C4E" w:rsidRPr="00E65C4E" w:rsidRDefault="00E65C4E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 xml:space="preserve">2014届毕业生中以签劳动合同形式就业的有98人，占毕业生总数的5.26%。 </w:t>
      </w:r>
    </w:p>
    <w:p w:rsidR="00E65C4E" w:rsidRPr="00E65C4E" w:rsidRDefault="00E65C4E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4.毕业生升学情况</w:t>
      </w:r>
    </w:p>
    <w:p w:rsidR="00E65C4E" w:rsidRPr="00E65C4E" w:rsidRDefault="00E65C4E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我</w:t>
      </w:r>
      <w:r w:rsidR="00A07A01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院</w:t>
      </w: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2014届毕业生中毕业去向为国内升学的有</w:t>
      </w:r>
      <w:r w:rsidR="009477FC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14</w:t>
      </w:r>
      <w:r w:rsidR="00F264A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4</w:t>
      </w: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人，根据公式“毕业生升学率=（国内升学的毕业生人数÷毕业生总人数）×100%”，计算得出我</w:t>
      </w:r>
      <w:r w:rsidR="00A07A01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院</w:t>
      </w:r>
      <w:r w:rsidR="009477FC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2014</w:t>
      </w: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届毕业生的升学率为</w:t>
      </w:r>
      <w:r w:rsidR="009477FC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7.</w:t>
      </w:r>
      <w:r w:rsidR="00F264A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73</w:t>
      </w: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%。</w:t>
      </w:r>
    </w:p>
    <w:p w:rsidR="00E65C4E" w:rsidRPr="00E65C4E" w:rsidRDefault="00E65C4E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5.毕业生出国情况</w:t>
      </w:r>
    </w:p>
    <w:p w:rsidR="00E65C4E" w:rsidRPr="00E65C4E" w:rsidRDefault="00E65C4E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我</w:t>
      </w:r>
      <w:r w:rsidR="00A07A01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院</w:t>
      </w: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出国出境的毕业生有</w:t>
      </w:r>
      <w:r w:rsidR="0019741C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8</w:t>
      </w: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人，根据公式“毕业生出国率=（出国出境的毕 业</w:t>
      </w: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lastRenderedPageBreak/>
        <w:t>生人数÷毕业生总人数）×100%”，计算得出我 2014届毕业生出国率为</w:t>
      </w:r>
      <w:r w:rsidR="00FE46A4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0.</w:t>
      </w:r>
      <w:r w:rsidR="00F264A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43</w:t>
      </w: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%。</w:t>
      </w:r>
    </w:p>
    <w:p w:rsidR="00E65C4E" w:rsidRPr="00E65C4E" w:rsidRDefault="00E65C4E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6.毕业生灵活就业情况</w:t>
      </w:r>
    </w:p>
    <w:p w:rsidR="00E65C4E" w:rsidRPr="00E65C4E" w:rsidRDefault="00E65C4E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2014届已就业的毕业生中，灵活就业为</w:t>
      </w:r>
      <w:r w:rsidR="00170AD1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48</w:t>
      </w: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人，占毕业生总数的0.</w:t>
      </w:r>
      <w:r w:rsidR="00FE46A4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54</w:t>
      </w: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%。其中自由职业</w:t>
      </w:r>
      <w:r w:rsidR="00FE46A4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6</w:t>
      </w: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人，自主创业</w:t>
      </w:r>
      <w:r w:rsidR="00170AD1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42</w:t>
      </w: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人。</w:t>
      </w:r>
    </w:p>
    <w:p w:rsidR="00847378" w:rsidRDefault="00E65C4E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7.毕业生创业情况</w:t>
      </w:r>
    </w:p>
    <w:p w:rsidR="00E65C4E" w:rsidRPr="00E65C4E" w:rsidRDefault="00E65C4E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我</w:t>
      </w:r>
      <w:r w:rsidR="00A07A01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院</w:t>
      </w:r>
      <w:r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毕业生</w:t>
      </w:r>
      <w:r w:rsidR="00170AD1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申请自主创业证人数为42人</w:t>
      </w:r>
      <w:r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，根</w:t>
      </w: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据公式“毕业生创业率=（毕业生创业的人数÷毕业生总人数）×100%”，计算得出我</w:t>
      </w:r>
      <w:r w:rsidR="00A07A01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院</w:t>
      </w: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2014届毕业生创业率为</w:t>
      </w:r>
      <w:r w:rsidR="00170AD1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2.25</w:t>
      </w: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 xml:space="preserve">%。 </w:t>
      </w:r>
    </w:p>
    <w:p w:rsidR="00E65C4E" w:rsidRPr="00E65C4E" w:rsidRDefault="00E65C4E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8.毕业生未就业情况</w:t>
      </w:r>
    </w:p>
    <w:p w:rsidR="003C17DD" w:rsidRPr="00847378" w:rsidRDefault="00E65C4E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截止到 2014年8月31日，</w:t>
      </w:r>
      <w:r w:rsidR="009870A5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学院</w:t>
      </w: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2014届毕业生中未就业人数共计</w:t>
      </w:r>
      <w:r w:rsidR="00FE46A4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159人，</w:t>
      </w: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占未就业人数的</w:t>
      </w:r>
      <w:r w:rsidR="00FE46A4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8.53</w:t>
      </w:r>
      <w:r w:rsidRPr="00E65C4E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%</w:t>
      </w:r>
      <w:r w:rsidR="00FE46A4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。</w:t>
      </w:r>
    </w:p>
    <w:p w:rsidR="00847378" w:rsidRDefault="00847378" w:rsidP="00847378">
      <w:pPr>
        <w:spacing w:after="0" w:line="360" w:lineRule="auto"/>
        <w:ind w:right="-23"/>
        <w:rPr>
          <w:rFonts w:asciiTheme="majorEastAsia" w:eastAsiaTheme="majorEastAsia" w:hAnsiTheme="majorEastAsia" w:cs="Microsoft JhengHei"/>
          <w:sz w:val="28"/>
          <w:szCs w:val="28"/>
          <w:lang w:eastAsia="zh-CN"/>
        </w:rPr>
      </w:pPr>
    </w:p>
    <w:p w:rsidR="0023709F" w:rsidRPr="00847378" w:rsidRDefault="0023709F" w:rsidP="00847378">
      <w:pPr>
        <w:spacing w:after="0" w:line="360" w:lineRule="auto"/>
        <w:ind w:right="-23"/>
        <w:rPr>
          <w:rFonts w:asciiTheme="majorEastAsia" w:eastAsiaTheme="majorEastAsia" w:hAnsiTheme="majorEastAsia" w:cs="Microsoft JhengHei"/>
          <w:b/>
          <w:sz w:val="28"/>
          <w:szCs w:val="28"/>
          <w:lang w:eastAsia="zh-CN"/>
        </w:rPr>
      </w:pPr>
      <w:r w:rsidRPr="00847378">
        <w:rPr>
          <w:rFonts w:asciiTheme="majorEastAsia" w:eastAsiaTheme="majorEastAsia" w:hAnsiTheme="majorEastAsia" w:cs="Microsoft JhengHei"/>
          <w:b/>
          <w:sz w:val="28"/>
          <w:szCs w:val="28"/>
          <w:lang w:eastAsia="zh-CN"/>
        </w:rPr>
        <w:t>五、就业分布</w:t>
      </w:r>
    </w:p>
    <w:p w:rsidR="0023709F" w:rsidRPr="003C17DD" w:rsidRDefault="0023709F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3C17DD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（一）毕业生就业单位分析</w:t>
      </w:r>
    </w:p>
    <w:p w:rsidR="0023709F" w:rsidRPr="003C17DD" w:rsidRDefault="0023709F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3C17DD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1.毕业生就业单位性质</w:t>
      </w:r>
    </w:p>
    <w:p w:rsidR="005B37C6" w:rsidRPr="008F5DA3" w:rsidRDefault="0023709F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3C17DD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我</w:t>
      </w:r>
      <w:r w:rsidR="00A07A01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院</w:t>
      </w:r>
      <w:r w:rsidRPr="003C17DD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2014届毕业生就业的单位性质覆盖了党政机关、科研设计单位、高等教育单位、中初教育单位、医疗卫生单位、其他事业单位、国有企业、三资企业、其他企业这些类别。其中，</w:t>
      </w:r>
      <w:r w:rsidR="003C17DD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其他企业</w:t>
      </w:r>
      <w:r w:rsidRPr="003C17DD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是最主要的流向，占比为</w:t>
      </w:r>
      <w:r w:rsidR="003C17DD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66.63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%，其次为其他，占比为</w:t>
      </w:r>
      <w:r w:rsidR="00972586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7.62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%，具体分布如</w:t>
      </w:r>
      <w:r w:rsidR="008F5DA3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图1-6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所示。</w:t>
      </w:r>
    </w:p>
    <w:p w:rsidR="00E65C4E" w:rsidRDefault="005B37C6" w:rsidP="00847378">
      <w:pPr>
        <w:spacing w:after="0" w:line="360" w:lineRule="auto"/>
        <w:ind w:right="-23" w:firstLineChars="200" w:firstLine="44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>
        <w:rPr>
          <w:noProof/>
          <w:lang w:eastAsia="zh-CN"/>
        </w:rPr>
        <w:drawing>
          <wp:inline distT="0" distB="0" distL="0" distR="0" wp14:anchorId="72AAEFA6" wp14:editId="22B8A679">
            <wp:extent cx="4908431" cy="2708694"/>
            <wp:effectExtent l="0" t="0" r="26035" b="15875"/>
            <wp:docPr id="289" name="图表 2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C17DD" w:rsidRPr="008F5DA3" w:rsidRDefault="003C17DD" w:rsidP="00847378">
      <w:pPr>
        <w:tabs>
          <w:tab w:val="left" w:pos="3520"/>
        </w:tabs>
        <w:spacing w:after="0" w:line="360" w:lineRule="auto"/>
        <w:ind w:left="2630" w:right="-20"/>
        <w:rPr>
          <w:rFonts w:asciiTheme="minorEastAsia" w:hAnsiTheme="minorEastAsia" w:cs="Microsoft JhengHei"/>
          <w:sz w:val="21"/>
          <w:szCs w:val="21"/>
          <w:lang w:eastAsia="zh-CN"/>
        </w:rPr>
      </w:pPr>
      <w:r w:rsidRPr="008F5DA3">
        <w:rPr>
          <w:rFonts w:asciiTheme="minorEastAsia" w:hAnsiTheme="minorEastAsia" w:cs="Microsoft JhengHei"/>
          <w:sz w:val="21"/>
          <w:szCs w:val="21"/>
          <w:lang w:eastAsia="zh-CN"/>
        </w:rPr>
        <w:t xml:space="preserve">图 </w:t>
      </w:r>
      <w:r w:rsidRPr="008F5DA3">
        <w:rPr>
          <w:rFonts w:asciiTheme="minorEastAsia" w:hAnsiTheme="minorEastAsia" w:cs="Arial"/>
          <w:w w:val="90"/>
          <w:sz w:val="21"/>
          <w:szCs w:val="21"/>
          <w:lang w:eastAsia="zh-CN"/>
        </w:rPr>
        <w:t>1</w:t>
      </w:r>
      <w:r w:rsidRPr="008F5DA3">
        <w:rPr>
          <w:rFonts w:asciiTheme="minorEastAsia" w:hAnsiTheme="minorEastAsia" w:cs="Arial"/>
          <w:w w:val="151"/>
          <w:sz w:val="21"/>
          <w:szCs w:val="21"/>
          <w:lang w:eastAsia="zh-CN"/>
        </w:rPr>
        <w:t>-</w:t>
      </w:r>
      <w:r w:rsidR="009B33C2" w:rsidRPr="008F5DA3">
        <w:rPr>
          <w:rFonts w:asciiTheme="minorEastAsia" w:hAnsiTheme="minorEastAsia" w:cs="Arial" w:hint="eastAsia"/>
          <w:w w:val="90"/>
          <w:sz w:val="21"/>
          <w:szCs w:val="21"/>
          <w:lang w:eastAsia="zh-CN"/>
        </w:rPr>
        <w:t>6</w:t>
      </w:r>
      <w:r w:rsidRPr="008F5DA3">
        <w:rPr>
          <w:rFonts w:asciiTheme="minorEastAsia" w:hAnsiTheme="minorEastAsia" w:cs="Arial"/>
          <w:sz w:val="21"/>
          <w:szCs w:val="21"/>
          <w:lang w:eastAsia="zh-CN"/>
        </w:rPr>
        <w:tab/>
      </w:r>
      <w:r w:rsidRPr="008F5DA3">
        <w:rPr>
          <w:rFonts w:asciiTheme="minorEastAsia" w:hAnsiTheme="minorEastAsia" w:cs="Arial"/>
          <w:w w:val="90"/>
          <w:sz w:val="21"/>
          <w:szCs w:val="21"/>
          <w:lang w:eastAsia="zh-CN"/>
        </w:rPr>
        <w:t xml:space="preserve">2014 </w:t>
      </w:r>
      <w:r w:rsidRPr="008F5DA3">
        <w:rPr>
          <w:rFonts w:asciiTheme="minorEastAsia" w:hAnsiTheme="minorEastAsia" w:cs="Microsoft JhengHei"/>
          <w:sz w:val="21"/>
          <w:szCs w:val="21"/>
          <w:lang w:eastAsia="zh-CN"/>
        </w:rPr>
        <w:t>届毕业生就业单位类型分布</w:t>
      </w:r>
    </w:p>
    <w:p w:rsidR="005B37C6" w:rsidRPr="005B37C6" w:rsidRDefault="005B37C6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5B37C6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lastRenderedPageBreak/>
        <w:t>2</w:t>
      </w:r>
      <w:r w:rsidRPr="005B37C6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.主要的用人单位情况</w:t>
      </w:r>
    </w:p>
    <w:p w:rsidR="005B37C6" w:rsidRPr="004C6C69" w:rsidRDefault="005B37C6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5B37C6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我</w:t>
      </w:r>
      <w:r w:rsidR="00A07A01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院</w:t>
      </w:r>
      <w:r w:rsidRPr="005B37C6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毕业生就业单位主要集中在</w:t>
      </w:r>
      <w:r w:rsidR="004C6C69" w:rsidRPr="004C6C69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信息传输、软件、和信息技术服务业</w:t>
      </w:r>
      <w:r w:rsidR="004C6C69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、</w:t>
      </w:r>
      <w:r w:rsidR="004C6C69" w:rsidRPr="004C6C69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批发和零售业和</w:t>
      </w:r>
      <w:r w:rsidR="004C6C69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教育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领域，如</w:t>
      </w:r>
      <w:r w:rsidR="008F5DA3" w:rsidRPr="008F5DA3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图1-7</w:t>
      </w:r>
      <w:r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所示，</w:t>
      </w:r>
      <w:r w:rsidR="004C6C69" w:rsidRPr="008F5DA3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 xml:space="preserve"> </w:t>
      </w:r>
    </w:p>
    <w:p w:rsidR="003C17DD" w:rsidRDefault="004C6C69" w:rsidP="00986350">
      <w:pPr>
        <w:spacing w:after="0" w:line="360" w:lineRule="auto"/>
        <w:ind w:right="-23" w:firstLineChars="200" w:firstLine="440"/>
        <w:jc w:val="center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>
        <w:rPr>
          <w:noProof/>
          <w:lang w:eastAsia="zh-CN"/>
        </w:rPr>
        <w:drawing>
          <wp:inline distT="0" distB="0" distL="0" distR="0" wp14:anchorId="20D735DE" wp14:editId="7B3A4B2E">
            <wp:extent cx="5322498" cy="7090913"/>
            <wp:effectExtent l="0" t="0" r="12065" b="15240"/>
            <wp:docPr id="290" name="图表 2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C6C69" w:rsidRPr="008F5DA3" w:rsidRDefault="009B33C2" w:rsidP="00847378">
      <w:pPr>
        <w:tabs>
          <w:tab w:val="left" w:pos="3520"/>
        </w:tabs>
        <w:spacing w:after="0" w:line="360" w:lineRule="auto"/>
        <w:ind w:left="2630" w:right="-20"/>
        <w:rPr>
          <w:rFonts w:asciiTheme="minorEastAsia" w:hAnsiTheme="minorEastAsia" w:cs="Arial"/>
          <w:w w:val="90"/>
          <w:sz w:val="21"/>
          <w:szCs w:val="21"/>
          <w:lang w:eastAsia="zh-CN"/>
        </w:rPr>
      </w:pPr>
      <w:r w:rsidRPr="008F5DA3">
        <w:rPr>
          <w:rFonts w:asciiTheme="minorEastAsia" w:hAnsiTheme="minorEastAsia" w:cs="Arial" w:hint="eastAsia"/>
          <w:w w:val="90"/>
          <w:sz w:val="21"/>
          <w:szCs w:val="21"/>
          <w:lang w:eastAsia="zh-CN"/>
        </w:rPr>
        <w:t>图</w:t>
      </w:r>
      <w:r w:rsidR="004C6C69" w:rsidRPr="008F5DA3">
        <w:rPr>
          <w:rFonts w:asciiTheme="minorEastAsia" w:hAnsiTheme="minorEastAsia" w:cs="Arial"/>
          <w:w w:val="90"/>
          <w:sz w:val="21"/>
          <w:szCs w:val="21"/>
          <w:lang w:eastAsia="zh-CN"/>
        </w:rPr>
        <w:t xml:space="preserve"> 1-</w:t>
      </w:r>
      <w:r w:rsidRPr="008F5DA3">
        <w:rPr>
          <w:rFonts w:asciiTheme="minorEastAsia" w:hAnsiTheme="minorEastAsia" w:cs="Arial" w:hint="eastAsia"/>
          <w:w w:val="90"/>
          <w:sz w:val="21"/>
          <w:szCs w:val="21"/>
          <w:lang w:eastAsia="zh-CN"/>
        </w:rPr>
        <w:t>7</w:t>
      </w:r>
      <w:r w:rsidR="004C6C69" w:rsidRPr="008F5DA3">
        <w:rPr>
          <w:rFonts w:asciiTheme="minorEastAsia" w:hAnsiTheme="minorEastAsia" w:cs="Arial" w:hint="eastAsia"/>
          <w:w w:val="90"/>
          <w:sz w:val="21"/>
          <w:szCs w:val="21"/>
          <w:lang w:eastAsia="zh-CN"/>
        </w:rPr>
        <w:t xml:space="preserve"> </w:t>
      </w:r>
      <w:r w:rsidR="004C6C69" w:rsidRPr="008F5DA3">
        <w:rPr>
          <w:rFonts w:asciiTheme="minorEastAsia" w:hAnsiTheme="minorEastAsia" w:cs="Arial"/>
          <w:w w:val="90"/>
          <w:sz w:val="21"/>
          <w:szCs w:val="21"/>
          <w:lang w:eastAsia="zh-CN"/>
        </w:rPr>
        <w:t>2014 届毕业生就业</w:t>
      </w:r>
      <w:r w:rsidR="004C6C69" w:rsidRPr="008F5DA3">
        <w:rPr>
          <w:rFonts w:asciiTheme="minorEastAsia" w:hAnsiTheme="minorEastAsia" w:cs="Arial" w:hint="eastAsia"/>
          <w:w w:val="90"/>
          <w:sz w:val="21"/>
          <w:szCs w:val="21"/>
          <w:lang w:eastAsia="zh-CN"/>
        </w:rPr>
        <w:t>行业类型分布</w:t>
      </w:r>
    </w:p>
    <w:p w:rsidR="003501F3" w:rsidRDefault="003501F3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</w:p>
    <w:p w:rsidR="003501F3" w:rsidRDefault="003501F3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</w:p>
    <w:p w:rsidR="0011390C" w:rsidRPr="0011390C" w:rsidRDefault="0011390C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11390C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lastRenderedPageBreak/>
        <w:t>3、</w:t>
      </w:r>
      <w:r w:rsidRPr="0011390C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各省份就业分布情况</w:t>
      </w:r>
    </w:p>
    <w:p w:rsidR="0011390C" w:rsidRPr="0011390C" w:rsidRDefault="0011390C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11390C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毕业生在</w:t>
      </w:r>
      <w:r w:rsidR="004A40D9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安徽</w:t>
      </w:r>
      <w:r w:rsidRPr="0011390C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就业的占比达</w:t>
      </w:r>
      <w:r w:rsidR="004A40D9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82</w:t>
      </w:r>
      <w:r w:rsidRPr="0011390C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%，另有</w:t>
      </w:r>
      <w:r w:rsidR="000722F2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18</w:t>
      </w:r>
      <w:r w:rsidRPr="0011390C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%的毕业生分别在北京、上海、贵州、四川等</w:t>
      </w:r>
      <w:r w:rsidR="000722F2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24</w:t>
      </w:r>
      <w:r w:rsidRPr="0011390C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个省（自治区、直辖市）就业。毕业生就业集中在本地（</w:t>
      </w:r>
      <w:r w:rsidR="000722F2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安徽</w:t>
      </w:r>
      <w:r w:rsidRPr="0011390C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省）就业，这与我</w:t>
      </w:r>
      <w:r w:rsidR="00A07A01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院</w:t>
      </w:r>
      <w:r w:rsidRPr="0011390C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“服务于区域经济发展”的定位相</w:t>
      </w:r>
      <w:r w:rsidR="00986350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吻合</w:t>
      </w:r>
    </w:p>
    <w:p w:rsidR="0011390C" w:rsidRPr="0011390C" w:rsidRDefault="000722F2" w:rsidP="00847378">
      <w:pPr>
        <w:spacing w:after="0" w:line="360" w:lineRule="auto"/>
        <w:ind w:right="-23" w:firstLineChars="200" w:firstLine="44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>
        <w:rPr>
          <w:noProof/>
          <w:lang w:eastAsia="zh-CN"/>
        </w:rPr>
        <w:drawing>
          <wp:inline distT="0" distB="0" distL="0" distR="0" wp14:anchorId="06631322" wp14:editId="21E1B6BA">
            <wp:extent cx="5287993" cy="7065034"/>
            <wp:effectExtent l="0" t="0" r="27305" b="2159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A5655" w:rsidRDefault="000722F2" w:rsidP="00847378">
      <w:pPr>
        <w:tabs>
          <w:tab w:val="left" w:pos="3520"/>
        </w:tabs>
        <w:spacing w:after="0" w:line="360" w:lineRule="auto"/>
        <w:ind w:left="2630" w:right="-20"/>
        <w:rPr>
          <w:rFonts w:asciiTheme="minorEastAsia" w:hAnsiTheme="minorEastAsia" w:cs="Arial"/>
          <w:w w:val="90"/>
          <w:sz w:val="21"/>
          <w:szCs w:val="21"/>
          <w:lang w:eastAsia="zh-CN"/>
        </w:rPr>
      </w:pPr>
      <w:r w:rsidRPr="008F5DA3">
        <w:rPr>
          <w:rFonts w:asciiTheme="minorEastAsia" w:hAnsiTheme="minorEastAsia" w:cs="Arial"/>
          <w:w w:val="90"/>
          <w:sz w:val="21"/>
          <w:szCs w:val="21"/>
          <w:lang w:eastAsia="zh-CN"/>
        </w:rPr>
        <w:t>图 1-</w:t>
      </w:r>
      <w:r w:rsidR="009B33C2" w:rsidRPr="008F5DA3">
        <w:rPr>
          <w:rFonts w:asciiTheme="minorEastAsia" w:hAnsiTheme="minorEastAsia" w:cs="Arial" w:hint="eastAsia"/>
          <w:w w:val="90"/>
          <w:sz w:val="21"/>
          <w:szCs w:val="21"/>
          <w:lang w:eastAsia="zh-CN"/>
        </w:rPr>
        <w:t>8</w:t>
      </w:r>
      <w:r w:rsidRPr="008F5DA3">
        <w:rPr>
          <w:rFonts w:asciiTheme="minorEastAsia" w:hAnsiTheme="minorEastAsia" w:cs="Arial" w:hint="eastAsia"/>
          <w:w w:val="90"/>
          <w:sz w:val="21"/>
          <w:szCs w:val="21"/>
          <w:lang w:eastAsia="zh-CN"/>
        </w:rPr>
        <w:t xml:space="preserve">  </w:t>
      </w:r>
      <w:r w:rsidRPr="008F5DA3">
        <w:rPr>
          <w:rFonts w:asciiTheme="minorEastAsia" w:hAnsiTheme="minorEastAsia" w:cs="Arial"/>
          <w:w w:val="90"/>
          <w:sz w:val="21"/>
          <w:szCs w:val="21"/>
          <w:lang w:eastAsia="zh-CN"/>
        </w:rPr>
        <w:tab/>
        <w:t>2014 届毕业生就业省份分布</w:t>
      </w:r>
      <w:r w:rsidR="00EA5655">
        <w:rPr>
          <w:rFonts w:asciiTheme="minorEastAsia" w:hAnsiTheme="minorEastAsia" w:cs="Arial"/>
          <w:w w:val="90"/>
          <w:sz w:val="21"/>
          <w:szCs w:val="21"/>
          <w:lang w:eastAsia="zh-CN"/>
        </w:rPr>
        <w:br w:type="page"/>
      </w:r>
    </w:p>
    <w:p w:rsidR="00995388" w:rsidRDefault="00EA5655" w:rsidP="00847378">
      <w:pPr>
        <w:spacing w:after="0" w:line="360" w:lineRule="auto"/>
        <w:ind w:right="-23"/>
        <w:rPr>
          <w:rFonts w:asciiTheme="majorEastAsia" w:eastAsiaTheme="majorEastAsia" w:hAnsiTheme="majorEastAsia" w:cs="Microsoft JhengHei"/>
          <w:sz w:val="84"/>
          <w:szCs w:val="84"/>
          <w:lang w:eastAsia="zh-CN"/>
        </w:rPr>
      </w:pPr>
      <w:r w:rsidRPr="00995388">
        <w:rPr>
          <w:rFonts w:asciiTheme="majorEastAsia" w:eastAsiaTheme="majorEastAsia" w:hAnsiTheme="majorEastAsia" w:cs="Microsoft JhengHei"/>
          <w:sz w:val="84"/>
          <w:szCs w:val="84"/>
          <w:lang w:eastAsia="zh-CN"/>
        </w:rPr>
        <w:lastRenderedPageBreak/>
        <w:t>第二部分：</w:t>
      </w:r>
    </w:p>
    <w:p w:rsidR="00995388" w:rsidRDefault="00995388" w:rsidP="00847378">
      <w:pPr>
        <w:spacing w:after="0" w:line="360" w:lineRule="auto"/>
        <w:ind w:right="-23"/>
        <w:rPr>
          <w:rFonts w:asciiTheme="majorEastAsia" w:eastAsiaTheme="majorEastAsia" w:hAnsiTheme="majorEastAsia" w:cs="Microsoft JhengHei"/>
          <w:sz w:val="84"/>
          <w:szCs w:val="84"/>
          <w:lang w:eastAsia="zh-CN"/>
        </w:rPr>
      </w:pPr>
    </w:p>
    <w:p w:rsidR="00EA5655" w:rsidRPr="00995388" w:rsidRDefault="00EA5655" w:rsidP="00847378">
      <w:pPr>
        <w:spacing w:after="0" w:line="360" w:lineRule="auto"/>
        <w:ind w:right="-23"/>
        <w:rPr>
          <w:rFonts w:asciiTheme="majorEastAsia" w:eastAsiaTheme="majorEastAsia" w:hAnsiTheme="majorEastAsia" w:cs="Microsoft JhengHei"/>
          <w:sz w:val="84"/>
          <w:szCs w:val="84"/>
          <w:lang w:eastAsia="zh-CN"/>
        </w:rPr>
      </w:pPr>
      <w:r w:rsidRPr="00995388">
        <w:rPr>
          <w:rFonts w:asciiTheme="majorEastAsia" w:eastAsiaTheme="majorEastAsia" w:hAnsiTheme="majorEastAsia" w:cs="Microsoft JhengHei"/>
          <w:sz w:val="84"/>
          <w:szCs w:val="84"/>
          <w:lang w:eastAsia="zh-CN"/>
        </w:rPr>
        <w:t>毕业生就业工作举措</w:t>
      </w:r>
    </w:p>
    <w:p w:rsidR="00EA5655" w:rsidRPr="00995388" w:rsidRDefault="00EA5655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</w:p>
    <w:p w:rsidR="00995388" w:rsidRDefault="00995388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br w:type="page"/>
      </w:r>
    </w:p>
    <w:p w:rsidR="00EA5655" w:rsidRPr="00EA5655" w:rsidRDefault="00EA5655" w:rsidP="00847378">
      <w:pPr>
        <w:spacing w:after="0" w:line="360" w:lineRule="auto"/>
        <w:ind w:right="-23"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EA5655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lastRenderedPageBreak/>
        <w:t>安徽大学江淮学院高度重视毕业生就业工作，将就业工作作为人才培养的重要环节，强化思想共识，整合有效资源，构建长效机制，完善工作体系，有效提升就业指导服务工作的专业化水平，举全</w:t>
      </w:r>
      <w:r w:rsidR="00A07A01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院</w:t>
      </w:r>
      <w:r w:rsidRPr="00EA5655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之</w:t>
      </w:r>
      <w:r w:rsidR="00037B88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力促进毕业生高质量、充分就业</w:t>
      </w:r>
      <w:r w:rsidR="00037B88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，具体作法如下：</w:t>
      </w:r>
    </w:p>
    <w:p w:rsidR="00037B88" w:rsidRPr="00037B88" w:rsidRDefault="00037B88" w:rsidP="00037B88">
      <w:pPr>
        <w:spacing w:line="360" w:lineRule="auto"/>
        <w:ind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037B88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1、加强领导，落实责任，全体动员。学院领导高度重视毕业生就业工作，将就业工作 “一把手工程”落到实处，先后多次召开就业工作专题会议研究解决2014年就业市场开拓、就业工作方案、文明离校、</w:t>
      </w:r>
      <w:r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毕业生管理</w:t>
      </w:r>
      <w:r w:rsidRPr="00037B88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等问题，各系均成立了以系主任牵头的系级毕业生就业工作领导小组；针对学院领导和中层干部实施2014届毕业生就业对口联系工作责任制，将就业责任落实到人；辅导员通过班会、谈话和飞信、QQ等通信工具联系学生，关心了解学生求职状况和思想动态，及时作好学生的思想工作，帮助解决学生就业中出现的问题，及时准确传达就业政策和信息；充分发挥专业任课教师和退休教师的作用，共同做好毕业生就业工作，营造全体动员，关注就业的良好工作氛围。学院积极落实八余项促进就业的制度：就业对口联系指导制度，周报制度，考研营养早餐补助制度，考取研究生奖励制度，双优生奖励制度，双困生帮扶制度，到基层就业奖励办法等。</w:t>
      </w:r>
    </w:p>
    <w:p w:rsidR="00037B88" w:rsidRPr="00037B88" w:rsidRDefault="00037B88" w:rsidP="00037B88">
      <w:pPr>
        <w:spacing w:line="360" w:lineRule="auto"/>
        <w:ind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037B88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2、强化各项就业服务工作的有效开展。积极鼓励毕业生参加基层就业项目和硕士研究生入学考试，及时发布各地公务员招考信息，鼓励广大毕业生报考；加强对考研学生的引导，做好考研学生的服务工作，为考研学生提供各种便利，如开设了通宵自习室方便考研学生的最后冲刺，聘请名师开设辅导班，给考研学生每日营养补助等；</w:t>
      </w:r>
      <w:r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开展考研送考；</w:t>
      </w:r>
      <w:r w:rsidRPr="00037B88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考研进入复试的同学给予报销报名费，对基层就业的毕业生和考取985高校的研究生给予奖励 。</w:t>
      </w:r>
    </w:p>
    <w:p w:rsidR="00037B88" w:rsidRPr="00037B88" w:rsidRDefault="00037B88" w:rsidP="00037B88">
      <w:pPr>
        <w:spacing w:line="360" w:lineRule="auto"/>
        <w:ind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037B88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3、注重学生综合素质的培养，提高就业竞争力。学院结合学生工作实际，针对三本学生特点，思想政治教育长抓不懈，要求辅导员帮助每一位学生对学习和就业做规划；在教学环节上，科学设计制定教学计划，聘请优秀教师，通过听课、学生座谈会、教师谈话等及时了解督导教学情况，确保教学质量；在高年级根据有益于学生就业的需求，开设相关课程和考级考证的辅导讲座。</w:t>
      </w:r>
    </w:p>
    <w:p w:rsidR="00037B88" w:rsidRPr="00037B88" w:rsidRDefault="00037B88" w:rsidP="00037B88">
      <w:pPr>
        <w:spacing w:line="360" w:lineRule="auto"/>
        <w:ind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037B88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4、在就业教育方面，通过就业信息平台加大宣传基层就业力度；加强辅导员谈心工作，摸清每位毕业生的就业意向，开展力所能及的帮助，特别是加强对</w:t>
      </w:r>
      <w:r w:rsidRPr="00037B88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lastRenderedPageBreak/>
        <w:t>双困毕业生的就业关注；邀请校外人士来我院举办针对低年级学生的讲座，帮助学生提早建立职业生涯规划；各系通过开展形式多样的毕业生对低年级的就业交流活动，取得了较明显的教育效果；通过开展第九届大学生职业生涯暨创业大赛，提高大学生的职业生涯意识，激发创业热情。</w:t>
      </w:r>
    </w:p>
    <w:p w:rsidR="00037B88" w:rsidRPr="00037B88" w:rsidRDefault="00037B88" w:rsidP="00037B88">
      <w:pPr>
        <w:spacing w:line="360" w:lineRule="auto"/>
        <w:ind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037B88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5、对双困生、考研、考公务员等其他情况做详细记载，帮助督促未签约毕业生就业，并实施力所能及的帮助，尽量减少有业不就现象，重点帮助双困生解决就业困难。</w:t>
      </w:r>
    </w:p>
    <w:p w:rsidR="00037B88" w:rsidRPr="00037B88" w:rsidRDefault="00037B88" w:rsidP="00037B88">
      <w:pPr>
        <w:spacing w:line="360" w:lineRule="auto"/>
        <w:ind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037B88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6、积极引导毕业生到基层就业，提前部署就业专项工作。加强基层就业宣传力度，号召广大毕业生，转变就业观念，到基层去，到国家建设需要的地方去实现自身的价值，通过就业指导课、就业网、移动平台、飞信等途径严格做好 “选调生”、“选聘生”、“三支一扶”、“毕业生预征入伍“、“农村教师特岗计划”、“大学生西部计划”等基层就业的前期宣传和动员工作。</w:t>
      </w:r>
    </w:p>
    <w:p w:rsidR="00037B88" w:rsidRPr="00037B88" w:rsidRDefault="00037B88" w:rsidP="00037B88">
      <w:pPr>
        <w:spacing w:line="360" w:lineRule="auto"/>
        <w:ind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037B88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7、开展“就业培训月”活动，学院将每年的10月定为“就业培训月”，开展形式多样的主题培训活动。通过邀请专家、优秀毕业生代表开展求职、考公务员、创业等方面的专题讲座；以召开考研、考公务员、基层就业等方面经验交流会的形式，加强就业教育；开展形式多样的毕业生对低年级的就业交流活动。</w:t>
      </w:r>
    </w:p>
    <w:p w:rsidR="00037B88" w:rsidRPr="00037B88" w:rsidRDefault="00037B88" w:rsidP="00037B88">
      <w:pPr>
        <w:spacing w:line="360" w:lineRule="auto"/>
        <w:ind w:firstLineChars="200" w:firstLine="480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037B88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8、重视并提前筹划毕业生文明离校工作。为切实做好2014届毕业生离校工作，确保毕业生安全、文明、顺利离校，制定2014届毕业生文明离校活动方案；加强毕业生安全、感恩教育，按照院系两级值班制度，提前安排毕业生离校的值班工作；开展形式多样的毕业生文明离校活动，如毕业生征文、毕业生留言、麦田计划捐赠、毕业生篮球赛、“献爱心、送温暖”募捐活动、 “我的求职历程、我的考研之路”毕业生主题报告会、“见证成长、留下足迹”我的大学情怀2014届毕业生成长纪录图片展等。</w:t>
      </w:r>
    </w:p>
    <w:p w:rsidR="000722F2" w:rsidRPr="00037B88" w:rsidRDefault="000722F2" w:rsidP="00037B88">
      <w:pPr>
        <w:spacing w:beforeLines="50" w:before="120" w:afterLines="50" w:after="120" w:line="360" w:lineRule="auto"/>
        <w:ind w:right="-23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</w:p>
    <w:sectPr w:rsidR="000722F2" w:rsidRPr="00037B88" w:rsidSect="00F264AE">
      <w:footerReference w:type="default" r:id="rId16"/>
      <w:pgSz w:w="1192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AE" w:rsidRDefault="00D56BAE" w:rsidP="00C812B8">
      <w:pPr>
        <w:spacing w:after="0" w:line="240" w:lineRule="auto"/>
      </w:pPr>
      <w:r>
        <w:separator/>
      </w:r>
    </w:p>
  </w:endnote>
  <w:endnote w:type="continuationSeparator" w:id="0">
    <w:p w:rsidR="00D56BAE" w:rsidRDefault="00D56BAE" w:rsidP="00C8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55" w:rsidRDefault="009870A5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368DCD" wp14:editId="28EACA90">
              <wp:simplePos x="0" y="0"/>
              <wp:positionH relativeFrom="page">
                <wp:posOffset>3747135</wp:posOffset>
              </wp:positionH>
              <wp:positionV relativeFrom="page">
                <wp:posOffset>9787255</wp:posOffset>
              </wp:positionV>
              <wp:extent cx="166370" cy="139700"/>
              <wp:effectExtent l="3810" t="0" r="1270" b="0"/>
              <wp:wrapNone/>
              <wp:docPr id="14" name="文本框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655" w:rsidRDefault="00EA5655">
                          <w:pPr>
                            <w:spacing w:after="0" w:line="20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493D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6" type="#_x0000_t202" style="position:absolute;margin-left:295.05pt;margin-top:770.65pt;width:13.1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" filled="f" stroked="f">
              <v:textbox inset="0,0,0,0">
                <w:txbxContent>
                  <w:p w:rsidR="00EA5655" w:rsidRDefault="00EA5655">
                    <w:pPr>
                      <w:spacing w:after="0" w:line="20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493D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AE" w:rsidRDefault="00D56BAE" w:rsidP="00C812B8">
      <w:pPr>
        <w:spacing w:after="0" w:line="240" w:lineRule="auto"/>
      </w:pPr>
      <w:r>
        <w:separator/>
      </w:r>
    </w:p>
  </w:footnote>
  <w:footnote w:type="continuationSeparator" w:id="0">
    <w:p w:rsidR="00D56BAE" w:rsidRDefault="00D56BAE" w:rsidP="00C81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7A"/>
    <w:rsid w:val="0002363A"/>
    <w:rsid w:val="000322DA"/>
    <w:rsid w:val="00037B88"/>
    <w:rsid w:val="0006301E"/>
    <w:rsid w:val="000644B0"/>
    <w:rsid w:val="00071996"/>
    <w:rsid w:val="000722F2"/>
    <w:rsid w:val="00081753"/>
    <w:rsid w:val="000A4E70"/>
    <w:rsid w:val="000D3B10"/>
    <w:rsid w:val="000E0B7A"/>
    <w:rsid w:val="0011390C"/>
    <w:rsid w:val="00120D29"/>
    <w:rsid w:val="001215EA"/>
    <w:rsid w:val="00127B55"/>
    <w:rsid w:val="001508A1"/>
    <w:rsid w:val="00163B17"/>
    <w:rsid w:val="00170AD1"/>
    <w:rsid w:val="00182E41"/>
    <w:rsid w:val="00185D92"/>
    <w:rsid w:val="00191BCB"/>
    <w:rsid w:val="0019741C"/>
    <w:rsid w:val="001A3A8F"/>
    <w:rsid w:val="001C0075"/>
    <w:rsid w:val="001C04AF"/>
    <w:rsid w:val="001C4F06"/>
    <w:rsid w:val="001D4706"/>
    <w:rsid w:val="001D4FEE"/>
    <w:rsid w:val="0020364C"/>
    <w:rsid w:val="00211349"/>
    <w:rsid w:val="0023709F"/>
    <w:rsid w:val="002741AD"/>
    <w:rsid w:val="00276C54"/>
    <w:rsid w:val="002C2852"/>
    <w:rsid w:val="002C374A"/>
    <w:rsid w:val="002C3FFB"/>
    <w:rsid w:val="002C7F43"/>
    <w:rsid w:val="00302D66"/>
    <w:rsid w:val="003501F3"/>
    <w:rsid w:val="00384A61"/>
    <w:rsid w:val="003B4EB1"/>
    <w:rsid w:val="003C17DD"/>
    <w:rsid w:val="003E2987"/>
    <w:rsid w:val="003E5BC2"/>
    <w:rsid w:val="00401A2B"/>
    <w:rsid w:val="00404F59"/>
    <w:rsid w:val="00427FA6"/>
    <w:rsid w:val="00447FE5"/>
    <w:rsid w:val="0046493D"/>
    <w:rsid w:val="00482A0E"/>
    <w:rsid w:val="00490DE2"/>
    <w:rsid w:val="004A40D9"/>
    <w:rsid w:val="004C136C"/>
    <w:rsid w:val="004C6C69"/>
    <w:rsid w:val="004E0ABA"/>
    <w:rsid w:val="004E0F11"/>
    <w:rsid w:val="0054031D"/>
    <w:rsid w:val="00541FAC"/>
    <w:rsid w:val="0054419C"/>
    <w:rsid w:val="00597C37"/>
    <w:rsid w:val="005A7148"/>
    <w:rsid w:val="005B2D6D"/>
    <w:rsid w:val="005B37C6"/>
    <w:rsid w:val="0060095F"/>
    <w:rsid w:val="00627B59"/>
    <w:rsid w:val="006466AE"/>
    <w:rsid w:val="00663EE3"/>
    <w:rsid w:val="006A7854"/>
    <w:rsid w:val="006B5A13"/>
    <w:rsid w:val="006C4BCA"/>
    <w:rsid w:val="006F3D54"/>
    <w:rsid w:val="00781D61"/>
    <w:rsid w:val="007D5B03"/>
    <w:rsid w:val="007F7DC3"/>
    <w:rsid w:val="00815468"/>
    <w:rsid w:val="00822797"/>
    <w:rsid w:val="00847378"/>
    <w:rsid w:val="008D135C"/>
    <w:rsid w:val="008F26CB"/>
    <w:rsid w:val="008F5DA3"/>
    <w:rsid w:val="0093018F"/>
    <w:rsid w:val="00933653"/>
    <w:rsid w:val="0094121F"/>
    <w:rsid w:val="009433FD"/>
    <w:rsid w:val="009477FC"/>
    <w:rsid w:val="00947813"/>
    <w:rsid w:val="00960830"/>
    <w:rsid w:val="00972586"/>
    <w:rsid w:val="00986350"/>
    <w:rsid w:val="009870A5"/>
    <w:rsid w:val="00995388"/>
    <w:rsid w:val="009A4648"/>
    <w:rsid w:val="009B33C2"/>
    <w:rsid w:val="00A07A01"/>
    <w:rsid w:val="00A21DC2"/>
    <w:rsid w:val="00A27478"/>
    <w:rsid w:val="00A66279"/>
    <w:rsid w:val="00A7639C"/>
    <w:rsid w:val="00AB533B"/>
    <w:rsid w:val="00AE71D1"/>
    <w:rsid w:val="00B13852"/>
    <w:rsid w:val="00B6101A"/>
    <w:rsid w:val="00B74E05"/>
    <w:rsid w:val="00BE5D77"/>
    <w:rsid w:val="00C233DE"/>
    <w:rsid w:val="00C25C14"/>
    <w:rsid w:val="00C54042"/>
    <w:rsid w:val="00C63566"/>
    <w:rsid w:val="00C767A4"/>
    <w:rsid w:val="00C812B8"/>
    <w:rsid w:val="00C82F21"/>
    <w:rsid w:val="00C9508E"/>
    <w:rsid w:val="00CA78C9"/>
    <w:rsid w:val="00CC475D"/>
    <w:rsid w:val="00D06B8C"/>
    <w:rsid w:val="00D10855"/>
    <w:rsid w:val="00D14E51"/>
    <w:rsid w:val="00D336F0"/>
    <w:rsid w:val="00D468D9"/>
    <w:rsid w:val="00D56BAE"/>
    <w:rsid w:val="00D97C8B"/>
    <w:rsid w:val="00E65C4E"/>
    <w:rsid w:val="00E665B6"/>
    <w:rsid w:val="00E83548"/>
    <w:rsid w:val="00E93BFA"/>
    <w:rsid w:val="00EA5655"/>
    <w:rsid w:val="00F264AE"/>
    <w:rsid w:val="00F45CEB"/>
    <w:rsid w:val="00F91D22"/>
    <w:rsid w:val="00FC509C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B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C81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12B8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C812B8"/>
    <w:rPr>
      <w:sz w:val="18"/>
      <w:szCs w:val="18"/>
    </w:rPr>
  </w:style>
  <w:style w:type="character" w:customStyle="1" w:styleId="apple-converted-space">
    <w:name w:val="apple-converted-space"/>
    <w:basedOn w:val="a0"/>
    <w:rsid w:val="0020364C"/>
  </w:style>
  <w:style w:type="paragraph" w:styleId="a5">
    <w:name w:val="Balloon Text"/>
    <w:basedOn w:val="a"/>
    <w:link w:val="Char1"/>
    <w:uiPriority w:val="99"/>
    <w:semiHidden/>
    <w:unhideWhenUsed/>
    <w:rsid w:val="006466AE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66AE"/>
    <w:rPr>
      <w:kern w:val="0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384A6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B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C81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12B8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C812B8"/>
    <w:rPr>
      <w:sz w:val="18"/>
      <w:szCs w:val="18"/>
    </w:rPr>
  </w:style>
  <w:style w:type="character" w:customStyle="1" w:styleId="apple-converted-space">
    <w:name w:val="apple-converted-space"/>
    <w:basedOn w:val="a0"/>
    <w:rsid w:val="0020364C"/>
  </w:style>
  <w:style w:type="paragraph" w:styleId="a5">
    <w:name w:val="Balloon Text"/>
    <w:basedOn w:val="a"/>
    <w:link w:val="Char1"/>
    <w:uiPriority w:val="99"/>
    <w:semiHidden/>
    <w:unhideWhenUsed/>
    <w:rsid w:val="006466AE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66AE"/>
    <w:rPr>
      <w:kern w:val="0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384A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4494;&#20113;&#32593;&#30424;\1017985517\&#24037;&#20316;\&#23601;&#19994;&#24037;&#20316;\2014\12&#26376;\&#23601;&#19994;&#36136;&#37327;&#25253;&#21578;\2014&#23626;&#27966;&#36963;&#25968;&#25454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4494;&#20113;&#32593;&#30424;\1017985517\&#24037;&#20316;\&#23601;&#19994;&#24037;&#20316;\2014\12&#26376;\&#23601;&#19994;&#36136;&#37327;&#25253;&#21578;\2014&#23626;&#27966;&#36963;&#25968;&#25454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4494;&#20113;&#32593;&#30424;\1017985517\&#24037;&#20316;\&#23601;&#19994;&#24037;&#20316;\2014\12&#26376;\&#23601;&#19994;&#36136;&#37327;&#25253;&#21578;\2014&#23626;&#27966;&#36963;&#25968;&#25454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4494;&#20113;&#32593;&#30424;\1017985517\&#24037;&#20316;\&#23601;&#19994;&#24037;&#20316;\2014\12&#26376;\&#23601;&#19994;&#36136;&#37327;&#25253;&#21578;\2014&#23626;&#27966;&#36963;&#25968;&#25454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4494;&#20113;&#32593;&#30424;\1017985517\&#24037;&#20316;\&#23601;&#19994;&#24037;&#20316;\2014\12&#26376;\&#23601;&#19994;&#36136;&#37327;&#25253;&#21578;\2014&#23626;&#27966;&#36963;&#25968;&#2545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2012届</c:v>
                </c:pt>
                <c:pt idx="1">
                  <c:v>2013届</c:v>
                </c:pt>
                <c:pt idx="2">
                  <c:v>2014届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1469</c:v>
                </c:pt>
                <c:pt idx="1">
                  <c:v>1456</c:v>
                </c:pt>
                <c:pt idx="2">
                  <c:v>1864</c:v>
                </c:pt>
              </c:numCache>
            </c:numRef>
          </c:val>
        </c:ser>
        <c:ser>
          <c:idx val="1"/>
          <c:order val="1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2012届</c:v>
                </c:pt>
                <c:pt idx="1">
                  <c:v>2013届</c:v>
                </c:pt>
                <c:pt idx="2">
                  <c:v>2014届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2012届</c:v>
                </c:pt>
                <c:pt idx="1">
                  <c:v>2013届</c:v>
                </c:pt>
                <c:pt idx="2">
                  <c:v>2014届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9113216"/>
        <c:axId val="119114752"/>
      </c:barChart>
      <c:catAx>
        <c:axId val="119113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9114752"/>
        <c:crosses val="autoZero"/>
        <c:auto val="1"/>
        <c:lblAlgn val="ctr"/>
        <c:lblOffset val="100"/>
        <c:noMultiLvlLbl val="0"/>
      </c:catAx>
      <c:valAx>
        <c:axId val="11911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113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人数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Sheet1!$A$2:$A$3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902</c:v>
                </c:pt>
                <c:pt idx="1">
                  <c:v>962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18881280"/>
        <c:axId val="121955072"/>
      </c:barChart>
      <c:catAx>
        <c:axId val="118881280"/>
        <c:scaling>
          <c:orientation val="minMax"/>
        </c:scaling>
        <c:delete val="0"/>
        <c:axPos val="l"/>
        <c:majorTickMark val="none"/>
        <c:minorTickMark val="none"/>
        <c:tickLblPos val="nextTo"/>
        <c:crossAx val="121955072"/>
        <c:crosses val="autoZero"/>
        <c:auto val="1"/>
        <c:lblAlgn val="ctr"/>
        <c:lblOffset val="100"/>
        <c:noMultiLvlLbl val="0"/>
      </c:catAx>
      <c:valAx>
        <c:axId val="121955072"/>
        <c:scaling>
          <c:orientation val="minMax"/>
          <c:max val="1000"/>
          <c:min val="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88812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比率（%）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安徽省</c:v>
                </c:pt>
                <c:pt idx="1">
                  <c:v>江苏省</c:v>
                </c:pt>
                <c:pt idx="2">
                  <c:v>山东省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97.85</c:v>
                </c:pt>
                <c:pt idx="1">
                  <c:v>1.07</c:v>
                </c:pt>
                <c:pt idx="2">
                  <c:v>1.02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083840"/>
        <c:axId val="126085376"/>
      </c:barChart>
      <c:catAx>
        <c:axId val="126083840"/>
        <c:scaling>
          <c:orientation val="minMax"/>
        </c:scaling>
        <c:delete val="0"/>
        <c:axPos val="l"/>
        <c:majorTickMark val="out"/>
        <c:minorTickMark val="none"/>
        <c:tickLblPos val="nextTo"/>
        <c:crossAx val="126085376"/>
        <c:crossesAt val="0"/>
        <c:auto val="1"/>
        <c:lblAlgn val="ctr"/>
        <c:lblOffset val="100"/>
        <c:noMultiLvlLbl val="0"/>
      </c:catAx>
      <c:valAx>
        <c:axId val="126085376"/>
        <c:scaling>
          <c:orientation val="minMax"/>
          <c:max val="1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6083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 w="25400">
          <a:noFill/>
        </a:ln>
      </c:spPr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性别就业率!$M$45</c:f>
              <c:strCache>
                <c:ptCount val="1"/>
                <c:pt idx="0">
                  <c:v>就业率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cat>
            <c:multiLvlStrRef>
              <c:f>性别就业率!$K$46:$L$55</c:f>
              <c:multiLvlStrCache>
                <c:ptCount val="10"/>
                <c:lvl>
                  <c:pt idx="0">
                    <c:v>管理系</c:v>
                  </c:pt>
                  <c:pt idx="1">
                    <c:v>管理系</c:v>
                  </c:pt>
                  <c:pt idx="2">
                    <c:v>计算机科学与电子技术系</c:v>
                  </c:pt>
                  <c:pt idx="3">
                    <c:v>计算机科学与电子技术系</c:v>
                  </c:pt>
                  <c:pt idx="4">
                    <c:v>经济系</c:v>
                  </c:pt>
                  <c:pt idx="5">
                    <c:v>经济系</c:v>
                  </c:pt>
                  <c:pt idx="6">
                    <c:v>生物化学系</c:v>
                  </c:pt>
                  <c:pt idx="7">
                    <c:v>生物化学系</c:v>
                  </c:pt>
                  <c:pt idx="8">
                    <c:v>文法系</c:v>
                  </c:pt>
                  <c:pt idx="9">
                    <c:v>文法系</c:v>
                  </c:pt>
                </c:lvl>
                <c:lvl>
                  <c:pt idx="0">
                    <c:v>男</c:v>
                  </c:pt>
                  <c:pt idx="1">
                    <c:v>女</c:v>
                  </c:pt>
                  <c:pt idx="2">
                    <c:v>男</c:v>
                  </c:pt>
                  <c:pt idx="3">
                    <c:v>女</c:v>
                  </c:pt>
                  <c:pt idx="4">
                    <c:v>男</c:v>
                  </c:pt>
                  <c:pt idx="5">
                    <c:v>女</c:v>
                  </c:pt>
                  <c:pt idx="6">
                    <c:v>男</c:v>
                  </c:pt>
                  <c:pt idx="7">
                    <c:v>女</c:v>
                  </c:pt>
                  <c:pt idx="8">
                    <c:v>男</c:v>
                  </c:pt>
                  <c:pt idx="9">
                    <c:v>女</c:v>
                  </c:pt>
                </c:lvl>
              </c:multiLvlStrCache>
            </c:multiLvlStrRef>
          </c:cat>
          <c:val>
            <c:numRef>
              <c:f>性别就业率!$M$46:$M$55</c:f>
              <c:numCache>
                <c:formatCode>0.00%</c:formatCode>
                <c:ptCount val="10"/>
                <c:pt idx="0">
                  <c:v>0.9</c:v>
                </c:pt>
                <c:pt idx="1">
                  <c:v>0.93489583333333337</c:v>
                </c:pt>
                <c:pt idx="2">
                  <c:v>0.87740384615384615</c:v>
                </c:pt>
                <c:pt idx="3">
                  <c:v>0.95238095238095233</c:v>
                </c:pt>
                <c:pt idx="4">
                  <c:v>0.85820895522388063</c:v>
                </c:pt>
                <c:pt idx="5">
                  <c:v>0.971830985915493</c:v>
                </c:pt>
                <c:pt idx="6">
                  <c:v>0.97142857142857142</c:v>
                </c:pt>
                <c:pt idx="7">
                  <c:v>0.9285714285714286</c:v>
                </c:pt>
                <c:pt idx="8">
                  <c:v>0.93103448275862066</c:v>
                </c:pt>
                <c:pt idx="9">
                  <c:v>0.90760869565217395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159104"/>
        <c:axId val="126160896"/>
      </c:barChart>
      <c:catAx>
        <c:axId val="12615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26160896"/>
        <c:crosses val="autoZero"/>
        <c:auto val="0"/>
        <c:lblAlgn val="ctr"/>
        <c:lblOffset val="100"/>
        <c:tickLblSkip val="4"/>
        <c:tickMarkSkip val="1"/>
        <c:noMultiLvlLbl val="0"/>
      </c:catAx>
      <c:valAx>
        <c:axId val="126160896"/>
        <c:scaling>
          <c:orientation val="minMax"/>
        </c:scaling>
        <c:delete val="0"/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title>
          <c:overlay val="0"/>
          <c:spPr>
            <a:noFill/>
            <a:ln w="25400">
              <a:noFill/>
            </a:ln>
          </c:spPr>
          <c:txPr>
            <a:bodyPr/>
            <a:lstStyle/>
            <a:p>
              <a:pPr>
                <a:defRPr sz="1000" b="1" i="0" u="none" strike="noStrike" baseline="0">
                  <a:solidFill>
                    <a:srgbClr val="000000"/>
                  </a:solidFill>
                  <a:latin typeface="宋体"/>
                  <a:ea typeface="宋体"/>
                  <a:cs typeface="宋体"/>
                </a:defRPr>
              </a:pPr>
              <a:endParaRPr lang="zh-CN"/>
            </a:p>
          </c:txPr>
        </c:title>
        <c:numFmt formatCode="0.00%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26159104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毕业去向!$H$2</c:f>
              <c:strCache>
                <c:ptCount val="1"/>
                <c:pt idx="0">
                  <c:v>人数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毕业去向!$G$3:$G$8</c:f>
              <c:strCache>
                <c:ptCount val="6"/>
                <c:pt idx="0">
                  <c:v>国内升学</c:v>
                </c:pt>
                <c:pt idx="1">
                  <c:v>出国出境</c:v>
                </c:pt>
                <c:pt idx="2">
                  <c:v>单位就业</c:v>
                </c:pt>
                <c:pt idx="3">
                  <c:v>灵活就业</c:v>
                </c:pt>
                <c:pt idx="4">
                  <c:v>未就业</c:v>
                </c:pt>
                <c:pt idx="5">
                  <c:v>基层项目</c:v>
                </c:pt>
              </c:strCache>
            </c:strRef>
          </c:cat>
          <c:val>
            <c:numRef>
              <c:f>毕业去向!$H$3:$H$8</c:f>
              <c:numCache>
                <c:formatCode>General</c:formatCode>
                <c:ptCount val="6"/>
                <c:pt idx="0">
                  <c:v>144</c:v>
                </c:pt>
                <c:pt idx="1">
                  <c:v>8</c:v>
                </c:pt>
                <c:pt idx="2">
                  <c:v>1475</c:v>
                </c:pt>
                <c:pt idx="3">
                  <c:v>48</c:v>
                </c:pt>
                <c:pt idx="4">
                  <c:v>159</c:v>
                </c:pt>
                <c:pt idx="5">
                  <c:v>30</c:v>
                </c:pt>
              </c:numCache>
            </c:numRef>
          </c:val>
        </c:ser>
        <c:ser>
          <c:idx val="1"/>
          <c:order val="1"/>
          <c:tx>
            <c:strRef>
              <c:f>毕业去向!$I$2</c:f>
              <c:strCache>
                <c:ptCount val="1"/>
                <c:pt idx="0">
                  <c:v>比率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毕业去向!$G$3:$G$8</c:f>
              <c:strCache>
                <c:ptCount val="6"/>
                <c:pt idx="0">
                  <c:v>国内升学</c:v>
                </c:pt>
                <c:pt idx="1">
                  <c:v>出国出境</c:v>
                </c:pt>
                <c:pt idx="2">
                  <c:v>单位就业</c:v>
                </c:pt>
                <c:pt idx="3">
                  <c:v>灵活就业</c:v>
                </c:pt>
                <c:pt idx="4">
                  <c:v>未就业</c:v>
                </c:pt>
                <c:pt idx="5">
                  <c:v>基层项目</c:v>
                </c:pt>
              </c:strCache>
            </c:strRef>
          </c:cat>
          <c:val>
            <c:numRef>
              <c:f>毕业去向!$I$3:$I$8</c:f>
              <c:numCache>
                <c:formatCode>0.00%</c:formatCode>
                <c:ptCount val="6"/>
                <c:pt idx="0">
                  <c:v>7.7253218884120178E-2</c:v>
                </c:pt>
                <c:pt idx="1">
                  <c:v>4.2918454935622317E-3</c:v>
                </c:pt>
                <c:pt idx="2">
                  <c:v>0.79130901287553645</c:v>
                </c:pt>
                <c:pt idx="3">
                  <c:v>2.575107296137339E-2</c:v>
                </c:pt>
                <c:pt idx="4">
                  <c:v>8.5300429184549359E-2</c:v>
                </c:pt>
                <c:pt idx="5">
                  <c:v>1.6094420600858368E-2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单位性质!$C$2</c:f>
              <c:strCache>
                <c:ptCount val="1"/>
                <c:pt idx="0">
                  <c:v>就业人数</c:v>
                </c:pt>
              </c:strCache>
            </c:strRef>
          </c:tx>
          <c:invertIfNegative val="0"/>
          <c:cat>
            <c:strRef>
              <c:f>单位性质!$B$3:$B$14</c:f>
              <c:strCache>
                <c:ptCount val="12"/>
                <c:pt idx="0">
                  <c:v>机关</c:v>
                </c:pt>
                <c:pt idx="1">
                  <c:v>科研设计单位</c:v>
                </c:pt>
                <c:pt idx="2">
                  <c:v>高等教育单位</c:v>
                </c:pt>
                <c:pt idx="3">
                  <c:v>中初教育单位</c:v>
                </c:pt>
                <c:pt idx="4">
                  <c:v>医疗卫生单位</c:v>
                </c:pt>
                <c:pt idx="5">
                  <c:v>其他事业单位</c:v>
                </c:pt>
                <c:pt idx="6">
                  <c:v>国有企业</c:v>
                </c:pt>
                <c:pt idx="7">
                  <c:v>三资企业</c:v>
                </c:pt>
                <c:pt idx="8">
                  <c:v>其他企业</c:v>
                </c:pt>
                <c:pt idx="9">
                  <c:v>部队</c:v>
                </c:pt>
                <c:pt idx="10">
                  <c:v>城镇社区</c:v>
                </c:pt>
                <c:pt idx="11">
                  <c:v>其他</c:v>
                </c:pt>
              </c:strCache>
            </c:strRef>
          </c:cat>
          <c:val>
            <c:numRef>
              <c:f>单位性质!$C$3:$C$14</c:f>
              <c:numCache>
                <c:formatCode>General</c:formatCode>
                <c:ptCount val="12"/>
                <c:pt idx="0">
                  <c:v>15</c:v>
                </c:pt>
                <c:pt idx="1">
                  <c:v>1</c:v>
                </c:pt>
                <c:pt idx="2">
                  <c:v>142</c:v>
                </c:pt>
                <c:pt idx="3">
                  <c:v>19</c:v>
                </c:pt>
                <c:pt idx="4">
                  <c:v>4</c:v>
                </c:pt>
                <c:pt idx="5">
                  <c:v>26</c:v>
                </c:pt>
                <c:pt idx="6">
                  <c:v>81</c:v>
                </c:pt>
                <c:pt idx="7">
                  <c:v>35</c:v>
                </c:pt>
                <c:pt idx="8">
                  <c:v>1242</c:v>
                </c:pt>
                <c:pt idx="9">
                  <c:v>2</c:v>
                </c:pt>
                <c:pt idx="10">
                  <c:v>1</c:v>
                </c:pt>
                <c:pt idx="11">
                  <c:v>126</c:v>
                </c:pt>
              </c:numCache>
            </c:numRef>
          </c:val>
        </c:ser>
        <c:ser>
          <c:idx val="1"/>
          <c:order val="1"/>
          <c:tx>
            <c:strRef>
              <c:f>单位性质!$D$2</c:f>
              <c:strCache>
                <c:ptCount val="1"/>
                <c:pt idx="0">
                  <c:v>比率</c:v>
                </c:pt>
              </c:strCache>
            </c:strRef>
          </c:tx>
          <c:invertIfNegative val="0"/>
          <c:cat>
            <c:strRef>
              <c:f>单位性质!$B$3:$B$14</c:f>
              <c:strCache>
                <c:ptCount val="12"/>
                <c:pt idx="0">
                  <c:v>机关</c:v>
                </c:pt>
                <c:pt idx="1">
                  <c:v>科研设计单位</c:v>
                </c:pt>
                <c:pt idx="2">
                  <c:v>高等教育单位</c:v>
                </c:pt>
                <c:pt idx="3">
                  <c:v>中初教育单位</c:v>
                </c:pt>
                <c:pt idx="4">
                  <c:v>医疗卫生单位</c:v>
                </c:pt>
                <c:pt idx="5">
                  <c:v>其他事业单位</c:v>
                </c:pt>
                <c:pt idx="6">
                  <c:v>国有企业</c:v>
                </c:pt>
                <c:pt idx="7">
                  <c:v>三资企业</c:v>
                </c:pt>
                <c:pt idx="8">
                  <c:v>其他企业</c:v>
                </c:pt>
                <c:pt idx="9">
                  <c:v>部队</c:v>
                </c:pt>
                <c:pt idx="10">
                  <c:v>城镇社区</c:v>
                </c:pt>
                <c:pt idx="11">
                  <c:v>其他</c:v>
                </c:pt>
              </c:strCache>
            </c:strRef>
          </c:cat>
          <c:val>
            <c:numRef>
              <c:f>单位性质!$D$3:$D$14</c:f>
              <c:numCache>
                <c:formatCode>0.00%</c:formatCode>
                <c:ptCount val="12"/>
                <c:pt idx="0">
                  <c:v>8.0472103004291841E-3</c:v>
                </c:pt>
                <c:pt idx="1">
                  <c:v>5.3648068669527897E-4</c:v>
                </c:pt>
                <c:pt idx="2">
                  <c:v>7.6180257510729613E-2</c:v>
                </c:pt>
                <c:pt idx="3">
                  <c:v>1.01931330472103E-2</c:v>
                </c:pt>
                <c:pt idx="4">
                  <c:v>2.1459227467811159E-3</c:v>
                </c:pt>
                <c:pt idx="5">
                  <c:v>1.3948497854077254E-2</c:v>
                </c:pt>
                <c:pt idx="6">
                  <c:v>4.3454935622317593E-2</c:v>
                </c:pt>
                <c:pt idx="7">
                  <c:v>1.8776824034334765E-2</c:v>
                </c:pt>
                <c:pt idx="8">
                  <c:v>0.66630901287553645</c:v>
                </c:pt>
                <c:pt idx="9">
                  <c:v>1.0729613733905579E-3</c:v>
                </c:pt>
                <c:pt idx="10">
                  <c:v>5.3648068669527897E-4</c:v>
                </c:pt>
                <c:pt idx="11">
                  <c:v>6.7596566523605156E-2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26502400"/>
        <c:axId val="126503936"/>
      </c:barChart>
      <c:catAx>
        <c:axId val="126502400"/>
        <c:scaling>
          <c:orientation val="minMax"/>
        </c:scaling>
        <c:delete val="0"/>
        <c:axPos val="l"/>
        <c:majorTickMark val="none"/>
        <c:minorTickMark val="none"/>
        <c:tickLblPos val="nextTo"/>
        <c:crossAx val="126503936"/>
        <c:crosses val="autoZero"/>
        <c:auto val="1"/>
        <c:lblAlgn val="ctr"/>
        <c:lblOffset val="100"/>
        <c:noMultiLvlLbl val="0"/>
      </c:catAx>
      <c:valAx>
        <c:axId val="12650393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265024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行业!$C$1</c:f>
              <c:strCache>
                <c:ptCount val="1"/>
                <c:pt idx="0">
                  <c:v>人数</c:v>
                </c:pt>
              </c:strCache>
            </c:strRef>
          </c:tx>
          <c:invertIfNegative val="0"/>
          <c:cat>
            <c:strRef>
              <c:f>行业!$B$2:$B$21</c:f>
              <c:strCache>
                <c:ptCount val="20"/>
                <c:pt idx="0">
                  <c:v>农、林、牧、渔业</c:v>
                </c:pt>
                <c:pt idx="1">
                  <c:v>采矿业</c:v>
                </c:pt>
                <c:pt idx="2">
                  <c:v>制造业</c:v>
                </c:pt>
                <c:pt idx="3">
                  <c:v>电力、热力、燃气、及水生产和供应业</c:v>
                </c:pt>
                <c:pt idx="4">
                  <c:v>建筑业</c:v>
                </c:pt>
                <c:pt idx="5">
                  <c:v>批发和零售业</c:v>
                </c:pt>
                <c:pt idx="6">
                  <c:v>交通运输、仓储和邮政业</c:v>
                </c:pt>
                <c:pt idx="7">
                  <c:v>住宿和餐饮业</c:v>
                </c:pt>
                <c:pt idx="8">
                  <c:v>信息传输、软件、和信息技术服务业</c:v>
                </c:pt>
                <c:pt idx="9">
                  <c:v>金融业</c:v>
                </c:pt>
                <c:pt idx="10">
                  <c:v>房地产业</c:v>
                </c:pt>
                <c:pt idx="11">
                  <c:v>租赁和商务服务业</c:v>
                </c:pt>
                <c:pt idx="12">
                  <c:v>科学研究和技术服务业</c:v>
                </c:pt>
                <c:pt idx="13">
                  <c:v>水利、环境和公共设施管理业</c:v>
                </c:pt>
                <c:pt idx="14">
                  <c:v>居民服务、修理和其他服务业</c:v>
                </c:pt>
                <c:pt idx="15">
                  <c:v>教育</c:v>
                </c:pt>
                <c:pt idx="16">
                  <c:v>卫生和社会工作</c:v>
                </c:pt>
                <c:pt idx="17">
                  <c:v>文化体育和娱乐业</c:v>
                </c:pt>
                <c:pt idx="18">
                  <c:v>公共管理、社会保障和社会组织</c:v>
                </c:pt>
                <c:pt idx="19">
                  <c:v>军队</c:v>
                </c:pt>
              </c:strCache>
            </c:strRef>
          </c:cat>
          <c:val>
            <c:numRef>
              <c:f>行业!$C$2:$C$21</c:f>
              <c:numCache>
                <c:formatCode>General</c:formatCode>
                <c:ptCount val="20"/>
                <c:pt idx="0">
                  <c:v>32</c:v>
                </c:pt>
                <c:pt idx="1">
                  <c:v>3</c:v>
                </c:pt>
                <c:pt idx="2">
                  <c:v>148</c:v>
                </c:pt>
                <c:pt idx="3">
                  <c:v>30</c:v>
                </c:pt>
                <c:pt idx="4">
                  <c:v>76</c:v>
                </c:pt>
                <c:pt idx="5">
                  <c:v>237</c:v>
                </c:pt>
                <c:pt idx="6">
                  <c:v>58</c:v>
                </c:pt>
                <c:pt idx="7">
                  <c:v>66</c:v>
                </c:pt>
                <c:pt idx="8">
                  <c:v>338</c:v>
                </c:pt>
                <c:pt idx="9">
                  <c:v>101</c:v>
                </c:pt>
                <c:pt idx="10">
                  <c:v>29</c:v>
                </c:pt>
                <c:pt idx="11">
                  <c:v>124</c:v>
                </c:pt>
                <c:pt idx="12">
                  <c:v>31</c:v>
                </c:pt>
                <c:pt idx="13">
                  <c:v>13</c:v>
                </c:pt>
                <c:pt idx="14">
                  <c:v>64</c:v>
                </c:pt>
                <c:pt idx="15">
                  <c:v>217</c:v>
                </c:pt>
                <c:pt idx="16">
                  <c:v>26</c:v>
                </c:pt>
                <c:pt idx="17">
                  <c:v>66</c:v>
                </c:pt>
                <c:pt idx="18">
                  <c:v>31</c:v>
                </c:pt>
                <c:pt idx="19">
                  <c:v>2</c:v>
                </c:pt>
              </c:numCache>
            </c:numRef>
          </c:val>
        </c:ser>
        <c:ser>
          <c:idx val="1"/>
          <c:order val="1"/>
          <c:tx>
            <c:strRef>
              <c:f>行业!$D$1</c:f>
              <c:strCache>
                <c:ptCount val="1"/>
                <c:pt idx="0">
                  <c:v>比率</c:v>
                </c:pt>
              </c:strCache>
            </c:strRef>
          </c:tx>
          <c:invertIfNegative val="0"/>
          <c:cat>
            <c:strRef>
              <c:f>行业!$B$2:$B$21</c:f>
              <c:strCache>
                <c:ptCount val="20"/>
                <c:pt idx="0">
                  <c:v>农、林、牧、渔业</c:v>
                </c:pt>
                <c:pt idx="1">
                  <c:v>采矿业</c:v>
                </c:pt>
                <c:pt idx="2">
                  <c:v>制造业</c:v>
                </c:pt>
                <c:pt idx="3">
                  <c:v>电力、热力、燃气、及水生产和供应业</c:v>
                </c:pt>
                <c:pt idx="4">
                  <c:v>建筑业</c:v>
                </c:pt>
                <c:pt idx="5">
                  <c:v>批发和零售业</c:v>
                </c:pt>
                <c:pt idx="6">
                  <c:v>交通运输、仓储和邮政业</c:v>
                </c:pt>
                <c:pt idx="7">
                  <c:v>住宿和餐饮业</c:v>
                </c:pt>
                <c:pt idx="8">
                  <c:v>信息传输、软件、和信息技术服务业</c:v>
                </c:pt>
                <c:pt idx="9">
                  <c:v>金融业</c:v>
                </c:pt>
                <c:pt idx="10">
                  <c:v>房地产业</c:v>
                </c:pt>
                <c:pt idx="11">
                  <c:v>租赁和商务服务业</c:v>
                </c:pt>
                <c:pt idx="12">
                  <c:v>科学研究和技术服务业</c:v>
                </c:pt>
                <c:pt idx="13">
                  <c:v>水利、环境和公共设施管理业</c:v>
                </c:pt>
                <c:pt idx="14">
                  <c:v>居民服务、修理和其他服务业</c:v>
                </c:pt>
                <c:pt idx="15">
                  <c:v>教育</c:v>
                </c:pt>
                <c:pt idx="16">
                  <c:v>卫生和社会工作</c:v>
                </c:pt>
                <c:pt idx="17">
                  <c:v>文化体育和娱乐业</c:v>
                </c:pt>
                <c:pt idx="18">
                  <c:v>公共管理、社会保障和社会组织</c:v>
                </c:pt>
                <c:pt idx="19">
                  <c:v>军队</c:v>
                </c:pt>
              </c:strCache>
            </c:strRef>
          </c:cat>
          <c:val>
            <c:numRef>
              <c:f>行业!$D$2:$D$21</c:f>
              <c:numCache>
                <c:formatCode>0.00%</c:formatCode>
                <c:ptCount val="20"/>
                <c:pt idx="0">
                  <c:v>1.7167381974248927E-2</c:v>
                </c:pt>
                <c:pt idx="1">
                  <c:v>1.6094420600858369E-3</c:v>
                </c:pt>
                <c:pt idx="2">
                  <c:v>7.9399141630901282E-2</c:v>
                </c:pt>
                <c:pt idx="3">
                  <c:v>1.6094420600858368E-2</c:v>
                </c:pt>
                <c:pt idx="4">
                  <c:v>4.07725321888412E-2</c:v>
                </c:pt>
                <c:pt idx="5">
                  <c:v>0.1271459227467811</c:v>
                </c:pt>
                <c:pt idx="6">
                  <c:v>3.1115879828326181E-2</c:v>
                </c:pt>
                <c:pt idx="7">
                  <c:v>3.5407725321888413E-2</c:v>
                </c:pt>
                <c:pt idx="8">
                  <c:v>0.18133047210300429</c:v>
                </c:pt>
                <c:pt idx="9">
                  <c:v>5.4184549356223174E-2</c:v>
                </c:pt>
                <c:pt idx="10">
                  <c:v>1.5557939914163091E-2</c:v>
                </c:pt>
                <c:pt idx="11">
                  <c:v>6.652360515021459E-2</c:v>
                </c:pt>
                <c:pt idx="12">
                  <c:v>1.6630901287553648E-2</c:v>
                </c:pt>
                <c:pt idx="13">
                  <c:v>6.974248927038627E-3</c:v>
                </c:pt>
                <c:pt idx="14">
                  <c:v>3.4334763948497854E-2</c:v>
                </c:pt>
                <c:pt idx="15">
                  <c:v>0.11641630901287553</c:v>
                </c:pt>
                <c:pt idx="16">
                  <c:v>1.3948497854077254E-2</c:v>
                </c:pt>
                <c:pt idx="17">
                  <c:v>3.5407725321888413E-2</c:v>
                </c:pt>
                <c:pt idx="18">
                  <c:v>1.6630901287553648E-2</c:v>
                </c:pt>
                <c:pt idx="19">
                  <c:v>1.0729613733905579E-3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26534400"/>
        <c:axId val="126535936"/>
      </c:barChart>
      <c:catAx>
        <c:axId val="126534400"/>
        <c:scaling>
          <c:orientation val="minMax"/>
        </c:scaling>
        <c:delete val="0"/>
        <c:axPos val="l"/>
        <c:majorTickMark val="none"/>
        <c:minorTickMark val="none"/>
        <c:tickLblPos val="nextTo"/>
        <c:crossAx val="126535936"/>
        <c:crosses val="autoZero"/>
        <c:auto val="1"/>
        <c:lblAlgn val="ctr"/>
        <c:lblOffset val="100"/>
        <c:noMultiLvlLbl val="0"/>
      </c:catAx>
      <c:valAx>
        <c:axId val="12653593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265344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地区!$D$1</c:f>
              <c:strCache>
                <c:ptCount val="1"/>
                <c:pt idx="0">
                  <c:v>人数</c:v>
                </c:pt>
              </c:strCache>
            </c:strRef>
          </c:tx>
          <c:invertIfNegative val="0"/>
          <c:cat>
            <c:strRef>
              <c:f>地区!$C$2:$C$26</c:f>
              <c:strCache>
                <c:ptCount val="25"/>
                <c:pt idx="0">
                  <c:v>安徽省</c:v>
                </c:pt>
                <c:pt idx="1">
                  <c:v>北京市</c:v>
                </c:pt>
                <c:pt idx="2">
                  <c:v>天津市</c:v>
                </c:pt>
                <c:pt idx="3">
                  <c:v>河北省</c:v>
                </c:pt>
                <c:pt idx="4">
                  <c:v>内蒙古自治区</c:v>
                </c:pt>
                <c:pt idx="5">
                  <c:v>黑龙江省</c:v>
                </c:pt>
                <c:pt idx="6">
                  <c:v>上海市</c:v>
                </c:pt>
                <c:pt idx="7">
                  <c:v>江苏省</c:v>
                </c:pt>
                <c:pt idx="8">
                  <c:v>浙江省</c:v>
                </c:pt>
                <c:pt idx="9">
                  <c:v>福建省</c:v>
                </c:pt>
                <c:pt idx="10">
                  <c:v>江西省</c:v>
                </c:pt>
                <c:pt idx="11">
                  <c:v>山东省</c:v>
                </c:pt>
                <c:pt idx="12">
                  <c:v>河南省</c:v>
                </c:pt>
                <c:pt idx="13">
                  <c:v>湖北省</c:v>
                </c:pt>
                <c:pt idx="14">
                  <c:v>湖南省</c:v>
                </c:pt>
                <c:pt idx="15">
                  <c:v>广东省</c:v>
                </c:pt>
                <c:pt idx="16">
                  <c:v>广西壮族自治区</c:v>
                </c:pt>
                <c:pt idx="17">
                  <c:v>重庆市</c:v>
                </c:pt>
                <c:pt idx="18">
                  <c:v>四川省</c:v>
                </c:pt>
                <c:pt idx="19">
                  <c:v>贵州省</c:v>
                </c:pt>
                <c:pt idx="20">
                  <c:v>云南省</c:v>
                </c:pt>
                <c:pt idx="21">
                  <c:v>陕西省</c:v>
                </c:pt>
                <c:pt idx="22">
                  <c:v>青海省</c:v>
                </c:pt>
                <c:pt idx="23">
                  <c:v>宁夏回族自治区</c:v>
                </c:pt>
                <c:pt idx="24">
                  <c:v>新疆维吾尔自治区</c:v>
                </c:pt>
              </c:strCache>
            </c:strRef>
          </c:cat>
          <c:val>
            <c:numRef>
              <c:f>地区!$D$2:$D$26</c:f>
              <c:numCache>
                <c:formatCode>General</c:formatCode>
                <c:ptCount val="25"/>
                <c:pt idx="0">
                  <c:v>1386</c:v>
                </c:pt>
                <c:pt idx="1">
                  <c:v>20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80</c:v>
                </c:pt>
                <c:pt idx="7">
                  <c:v>84</c:v>
                </c:pt>
                <c:pt idx="8">
                  <c:v>50</c:v>
                </c:pt>
                <c:pt idx="9">
                  <c:v>3</c:v>
                </c:pt>
                <c:pt idx="10">
                  <c:v>3</c:v>
                </c:pt>
                <c:pt idx="11">
                  <c:v>11</c:v>
                </c:pt>
                <c:pt idx="12">
                  <c:v>2</c:v>
                </c:pt>
                <c:pt idx="13">
                  <c:v>6</c:v>
                </c:pt>
                <c:pt idx="14">
                  <c:v>2</c:v>
                </c:pt>
                <c:pt idx="15">
                  <c:v>17</c:v>
                </c:pt>
                <c:pt idx="16">
                  <c:v>3</c:v>
                </c:pt>
                <c:pt idx="17">
                  <c:v>3</c:v>
                </c:pt>
                <c:pt idx="18">
                  <c:v>2</c:v>
                </c:pt>
                <c:pt idx="19">
                  <c:v>1</c:v>
                </c:pt>
                <c:pt idx="20">
                  <c:v>4</c:v>
                </c:pt>
                <c:pt idx="21">
                  <c:v>7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</c:ser>
        <c:ser>
          <c:idx val="1"/>
          <c:order val="1"/>
          <c:tx>
            <c:strRef>
              <c:f>地区!$E$1</c:f>
              <c:strCache>
                <c:ptCount val="1"/>
                <c:pt idx="0">
                  <c:v>比率(%)</c:v>
                </c:pt>
              </c:strCache>
            </c:strRef>
          </c:tx>
          <c:invertIfNegative val="0"/>
          <c:cat>
            <c:strRef>
              <c:f>地区!$C$2:$C$26</c:f>
              <c:strCache>
                <c:ptCount val="25"/>
                <c:pt idx="0">
                  <c:v>安徽省</c:v>
                </c:pt>
                <c:pt idx="1">
                  <c:v>北京市</c:v>
                </c:pt>
                <c:pt idx="2">
                  <c:v>天津市</c:v>
                </c:pt>
                <c:pt idx="3">
                  <c:v>河北省</c:v>
                </c:pt>
                <c:pt idx="4">
                  <c:v>内蒙古自治区</c:v>
                </c:pt>
                <c:pt idx="5">
                  <c:v>黑龙江省</c:v>
                </c:pt>
                <c:pt idx="6">
                  <c:v>上海市</c:v>
                </c:pt>
                <c:pt idx="7">
                  <c:v>江苏省</c:v>
                </c:pt>
                <c:pt idx="8">
                  <c:v>浙江省</c:v>
                </c:pt>
                <c:pt idx="9">
                  <c:v>福建省</c:v>
                </c:pt>
                <c:pt idx="10">
                  <c:v>江西省</c:v>
                </c:pt>
                <c:pt idx="11">
                  <c:v>山东省</c:v>
                </c:pt>
                <c:pt idx="12">
                  <c:v>河南省</c:v>
                </c:pt>
                <c:pt idx="13">
                  <c:v>湖北省</c:v>
                </c:pt>
                <c:pt idx="14">
                  <c:v>湖南省</c:v>
                </c:pt>
                <c:pt idx="15">
                  <c:v>广东省</c:v>
                </c:pt>
                <c:pt idx="16">
                  <c:v>广西壮族自治区</c:v>
                </c:pt>
                <c:pt idx="17">
                  <c:v>重庆市</c:v>
                </c:pt>
                <c:pt idx="18">
                  <c:v>四川省</c:v>
                </c:pt>
                <c:pt idx="19">
                  <c:v>贵州省</c:v>
                </c:pt>
                <c:pt idx="20">
                  <c:v>云南省</c:v>
                </c:pt>
                <c:pt idx="21">
                  <c:v>陕西省</c:v>
                </c:pt>
                <c:pt idx="22">
                  <c:v>青海省</c:v>
                </c:pt>
                <c:pt idx="23">
                  <c:v>宁夏回族自治区</c:v>
                </c:pt>
                <c:pt idx="24">
                  <c:v>新疆维吾尔自治区</c:v>
                </c:pt>
              </c:strCache>
            </c:strRef>
          </c:cat>
          <c:val>
            <c:numRef>
              <c:f>地区!$E$2:$E$26</c:f>
              <c:numCache>
                <c:formatCode>0.00%</c:formatCode>
                <c:ptCount val="25"/>
                <c:pt idx="0">
                  <c:v>0.81721698113207553</c:v>
                </c:pt>
                <c:pt idx="1">
                  <c:v>1.179245283018868E-2</c:v>
                </c:pt>
                <c:pt idx="2">
                  <c:v>1.7688679245283019E-3</c:v>
                </c:pt>
                <c:pt idx="3">
                  <c:v>1.1792452830188679E-3</c:v>
                </c:pt>
                <c:pt idx="4">
                  <c:v>5.8962264150943394E-4</c:v>
                </c:pt>
                <c:pt idx="5">
                  <c:v>1.7688679245283019E-3</c:v>
                </c:pt>
                <c:pt idx="6">
                  <c:v>4.716981132075472E-2</c:v>
                </c:pt>
                <c:pt idx="7">
                  <c:v>4.9528301886792456E-2</c:v>
                </c:pt>
                <c:pt idx="8">
                  <c:v>2.9481132075471699E-2</c:v>
                </c:pt>
                <c:pt idx="9">
                  <c:v>1.7688679245283019E-3</c:v>
                </c:pt>
                <c:pt idx="10">
                  <c:v>1.7688679245283019E-3</c:v>
                </c:pt>
                <c:pt idx="11">
                  <c:v>6.4858490566037739E-3</c:v>
                </c:pt>
                <c:pt idx="12">
                  <c:v>1.1792452830188679E-3</c:v>
                </c:pt>
                <c:pt idx="13">
                  <c:v>3.5377358490566039E-3</c:v>
                </c:pt>
                <c:pt idx="14">
                  <c:v>1.1792452830188679E-3</c:v>
                </c:pt>
                <c:pt idx="15">
                  <c:v>1.0023584905660377E-2</c:v>
                </c:pt>
                <c:pt idx="16">
                  <c:v>1.7688679245283019E-3</c:v>
                </c:pt>
                <c:pt idx="17">
                  <c:v>1.7688679245283019E-3</c:v>
                </c:pt>
                <c:pt idx="18">
                  <c:v>1.1792452830188679E-3</c:v>
                </c:pt>
                <c:pt idx="19">
                  <c:v>5.8962264150943394E-4</c:v>
                </c:pt>
                <c:pt idx="20">
                  <c:v>2.3584905660377358E-3</c:v>
                </c:pt>
                <c:pt idx="21">
                  <c:v>4.1273584905660377E-3</c:v>
                </c:pt>
                <c:pt idx="22">
                  <c:v>5.8962264150943394E-4</c:v>
                </c:pt>
                <c:pt idx="23">
                  <c:v>5.8962264150943394E-4</c:v>
                </c:pt>
                <c:pt idx="24">
                  <c:v>5.8962264150943394E-4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26627840"/>
        <c:axId val="126629376"/>
      </c:barChart>
      <c:catAx>
        <c:axId val="126627840"/>
        <c:scaling>
          <c:orientation val="minMax"/>
        </c:scaling>
        <c:delete val="0"/>
        <c:axPos val="l"/>
        <c:majorTickMark val="none"/>
        <c:minorTickMark val="none"/>
        <c:tickLblPos val="nextTo"/>
        <c:crossAx val="126629376"/>
        <c:crosses val="autoZero"/>
        <c:auto val="1"/>
        <c:lblAlgn val="ctr"/>
        <c:lblOffset val="100"/>
        <c:noMultiLvlLbl val="0"/>
      </c:catAx>
      <c:valAx>
        <c:axId val="12662937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266278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B0EB-257D-4777-BC00-02A023CB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16</Pages>
  <Words>1027</Words>
  <Characters>5854</Characters>
  <Application>Microsoft Office Word</Application>
  <DocSecurity>0</DocSecurity>
  <Lines>48</Lines>
  <Paragraphs>13</Paragraphs>
  <ScaleCrop>false</ScaleCrop>
  <Company>WIN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96</cp:revision>
  <dcterms:created xsi:type="dcterms:W3CDTF">2014-12-16T01:56:00Z</dcterms:created>
  <dcterms:modified xsi:type="dcterms:W3CDTF">2015-01-04T07:53:00Z</dcterms:modified>
</cp:coreProperties>
</file>